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1058DAEB"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7" w:history="1">
                              <w:r w:rsidRPr="00D348C0">
                                <w:rPr>
                                  <w:rStyle w:val="Hyperlink"/>
                                </w:rPr>
                                <w:t>using your pupil premium funding effectively</w:t>
                              </w:r>
                            </w:hyperlink>
                            <w:r w:rsidRPr="00D348C0">
                              <w:rPr>
                                <w:bCs/>
                                <w:color w:val="auto"/>
                              </w:rPr>
                              <w:t xml:space="preserve"> and DfE’s </w:t>
                            </w:r>
                            <w:hyperlink r:id="rId8"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5"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9" w:history="1">
                        <w:r w:rsidRPr="00D348C0">
                          <w:rPr>
                            <w:rStyle w:val="Hyperlink"/>
                          </w:rPr>
                          <w:t>using your pupil premium funding effectively</w:t>
                        </w:r>
                      </w:hyperlink>
                      <w:r w:rsidRPr="00D348C0">
                        <w:rPr>
                          <w:bCs/>
                          <w:color w:val="auto"/>
                        </w:rPr>
                        <w:t xml:space="preserve"> and DfE’s </w:t>
                      </w:r>
                      <w:hyperlink r:id="rId10"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920527">
        <w:t xml:space="preserve">Salway Ash </w:t>
      </w:r>
      <w:proofErr w:type="spellStart"/>
      <w:r w:rsidR="00920527">
        <w:t>cE</w:t>
      </w:r>
      <w:proofErr w:type="spellEnd"/>
      <w:r w:rsidR="00920527">
        <w:t xml:space="preserve"> VA Primary School</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344812F" w:rsidR="002940F3" w:rsidRDefault="00BA501E">
            <w:pPr>
              <w:pStyle w:val="TableRow"/>
            </w:pPr>
            <w:r>
              <w:t>1</w:t>
            </w:r>
            <w:r w:rsidR="00920527">
              <w:t>10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8BAFA81" w:rsidR="002940F3" w:rsidRDefault="003459AC">
            <w:pPr>
              <w:pStyle w:val="TableRow"/>
            </w:pPr>
            <w:r>
              <w:t>10% (£14,795)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3A79CB" w14:textId="7E6E88A3" w:rsidR="002940F3" w:rsidRDefault="009A082B">
            <w:pPr>
              <w:pStyle w:val="TableRow"/>
            </w:pPr>
            <w:r>
              <w:t>2024 – 2025</w:t>
            </w:r>
          </w:p>
          <w:p w14:paraId="778DFAA9" w14:textId="5BDDCDD0" w:rsidR="009A082B" w:rsidRDefault="009A082B">
            <w:pPr>
              <w:pStyle w:val="TableRow"/>
            </w:pPr>
            <w:r>
              <w:t>2025 – 2026</w:t>
            </w:r>
          </w:p>
          <w:p w14:paraId="2A7D54BF" w14:textId="3D9F70BB" w:rsidR="009A082B" w:rsidRDefault="009A082B" w:rsidP="009A082B">
            <w:pPr>
              <w:pStyle w:val="TableRow"/>
            </w:pPr>
            <w:r>
              <w:t>2026 – 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BFE81CC" w:rsidR="002940F3" w:rsidRDefault="00920527">
            <w:pPr>
              <w:pStyle w:val="TableRow"/>
            </w:pPr>
            <w:r>
              <w:t>October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B0425C4" w:rsidR="002940F3" w:rsidRDefault="00920527">
            <w:pPr>
              <w:pStyle w:val="TableRow"/>
            </w:pPr>
            <w:r>
              <w:t>October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DD1B71" w14:textId="77777777" w:rsidR="002940F3" w:rsidRDefault="00920527">
            <w:pPr>
              <w:pStyle w:val="TableRow"/>
            </w:pPr>
            <w:r>
              <w:t>Leif Overment</w:t>
            </w:r>
          </w:p>
          <w:p w14:paraId="2A7D54C8" w14:textId="3F611118" w:rsidR="00920527" w:rsidRDefault="00920527">
            <w:pPr>
              <w:pStyle w:val="TableRow"/>
            </w:pPr>
            <w:r>
              <w:t>Headteacher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3E7FFA" w14:textId="77777777" w:rsidR="002940F3" w:rsidRDefault="009A082B">
            <w:pPr>
              <w:pStyle w:val="TableRow"/>
            </w:pPr>
            <w:r>
              <w:t>Leif Overment</w:t>
            </w:r>
          </w:p>
          <w:p w14:paraId="2A7D54CB" w14:textId="2262A187" w:rsidR="00920527" w:rsidRDefault="00920527">
            <w:pPr>
              <w:pStyle w:val="TableRow"/>
            </w:pPr>
            <w:r>
              <w:t>Headteacher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lastRenderedPageBreak/>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95C985" w14:textId="77777777" w:rsidR="002940F3" w:rsidRDefault="009A082B">
            <w:pPr>
              <w:pStyle w:val="TableRow"/>
            </w:pPr>
            <w:r>
              <w:t>Jo Goodfellow</w:t>
            </w:r>
          </w:p>
          <w:p w14:paraId="2A7D54CE" w14:textId="6483C0B7" w:rsidR="00920527" w:rsidRDefault="00920527">
            <w:pPr>
              <w:pStyle w:val="TableRow"/>
            </w:pPr>
            <w:r>
              <w:t>Governor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9C2B64A" w:rsidR="00E66558" w:rsidRDefault="00920527">
            <w:pPr>
              <w:pStyle w:val="TableRow"/>
            </w:pPr>
            <w:r>
              <w:t>£14,795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2D851DA0" w:rsidR="00E66558" w:rsidRDefault="009D71E8">
            <w:pPr>
              <w:pStyle w:val="TableRow"/>
            </w:pPr>
            <w:r>
              <w:t>£</w:t>
            </w:r>
            <w:r w:rsidR="00920527">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6CE413D" w:rsidR="00E66558" w:rsidRDefault="009D71E8">
            <w:pPr>
              <w:pStyle w:val="TableRow"/>
            </w:pPr>
            <w:r>
              <w:t>£</w:t>
            </w:r>
            <w:r w:rsidR="00920527">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41E4ED2" w:rsidR="00E66558" w:rsidRDefault="00920527">
            <w:pPr>
              <w:pStyle w:val="TableRow"/>
            </w:pPr>
            <w:r>
              <w:t>£14,795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DC145" w14:textId="77777777" w:rsidR="003459AC" w:rsidRDefault="003459AC" w:rsidP="003459AC">
            <w:r w:rsidRPr="003459AC">
              <w:t xml:space="preserve">Salway Ash Primary School has high expectations of all pupils, irrespective of their background or the challenges they face. Our school values are compassion, hope, perseverance, joy and respect and these underpin all we do. We aim for all children to make good progress and achieve high attainment across all subject areas. The focus of our pupil premium strategy is to support disadvantaged pupils to achieve that goal, including progress for those who are already high attainers. </w:t>
            </w:r>
          </w:p>
          <w:p w14:paraId="3676B95F" w14:textId="03B253E6" w:rsidR="003459AC" w:rsidRDefault="003459AC" w:rsidP="003459AC">
            <w:r w:rsidRPr="003459AC">
              <w:t xml:space="preserve">Salway Ash’s strategy plan for Pupil Premium pupils is based on the EEF Pupil Premium Guide and the recommended tiered model which focuses on: </w:t>
            </w:r>
          </w:p>
          <w:p w14:paraId="5D17D12F" w14:textId="77777777" w:rsidR="003459AC" w:rsidRDefault="003459AC" w:rsidP="003459AC">
            <w:r w:rsidRPr="003459AC">
              <w:t xml:space="preserve">• high-quality teaching </w:t>
            </w:r>
            <w:r>
              <w:br/>
            </w:r>
            <w:r w:rsidRPr="003459AC">
              <w:t xml:space="preserve">• targeted academic support </w:t>
            </w:r>
            <w:r>
              <w:br/>
            </w:r>
            <w:r w:rsidRPr="003459AC">
              <w:t xml:space="preserve">• wider strategies </w:t>
            </w:r>
          </w:p>
          <w:p w14:paraId="605D6F6E" w14:textId="77777777" w:rsidR="00CE5CA2" w:rsidRDefault="003459AC" w:rsidP="003459AC">
            <w:r w:rsidRPr="003459AC">
              <w:t xml:space="preserve">We will consider the challenges faced by vulnerable pupils, such as those who have a social worker and young carers. The activity we have outlined in this statement is also intended to support their needs, regardless of whether they are disadvantaged or not. </w:t>
            </w:r>
          </w:p>
          <w:p w14:paraId="47FF583C" w14:textId="77777777" w:rsidR="00CE5CA2" w:rsidRDefault="003459AC" w:rsidP="003459AC">
            <w:r w:rsidRPr="003459AC">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61EB8379" w14:textId="6E08EF24" w:rsidR="00CE5CA2" w:rsidRDefault="003459AC" w:rsidP="003459AC">
            <w:r w:rsidRPr="003459AC">
              <w:t xml:space="preserve">Our strategy is also part of wider school plans for education recovery, notably in its targeted support through </w:t>
            </w:r>
            <w:r w:rsidR="00B6421D">
              <w:t>interventions</w:t>
            </w:r>
            <w:r w:rsidRPr="003459AC">
              <w:t xml:space="preserve"> for pupils whose education has been worst affected, including non-disadvantaged pupils. </w:t>
            </w:r>
          </w:p>
          <w:p w14:paraId="10BF0636" w14:textId="77777777" w:rsidR="00CE5CA2" w:rsidRDefault="003459AC" w:rsidP="003459AC">
            <w:r w:rsidRPr="003459AC">
              <w:t xml:space="preserve">Our approach will be responsive to common challenges and individual needs, rooted in robust diagnostic assessment, not assumptions about the impact of disadvantage. The approaches we have adopted complement each other to help pupils excel. To ensure they are effective we will: </w:t>
            </w:r>
          </w:p>
          <w:p w14:paraId="2A7D54E9" w14:textId="4490DE9C" w:rsidR="00E66558" w:rsidRPr="003459AC" w:rsidRDefault="003459AC" w:rsidP="003459AC">
            <w:r w:rsidRPr="003459AC">
              <w:t xml:space="preserve">• ensure disadvantaged pupils are challenged in the work that they’re set </w:t>
            </w:r>
            <w:r w:rsidR="00CE5CA2">
              <w:br/>
            </w:r>
            <w:r w:rsidRPr="003459AC">
              <w:t xml:space="preserve">• act early to intervene at the point need is identified </w:t>
            </w:r>
            <w:r w:rsidR="00CE5CA2">
              <w:br/>
            </w:r>
            <w:r w:rsidRPr="003459AC">
              <w:t>• adopt a whole school approach in which all staff take responsibility for disadvantaged pupils’ outcomes and raise expectations of what they can achieve</w:t>
            </w:r>
          </w:p>
        </w:tc>
      </w:tr>
      <w:tr w:rsidR="00CE5CA2" w14:paraId="156E8864"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8BC3" w14:textId="77777777" w:rsidR="00CE5CA2" w:rsidRPr="003459AC" w:rsidRDefault="00CE5CA2" w:rsidP="003459AC"/>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21B7463" w:rsidR="00E66558" w:rsidRDefault="007875FE">
            <w:pPr>
              <w:pStyle w:val="TableRowCentered"/>
              <w:jc w:val="left"/>
            </w:pPr>
            <w:r>
              <w:rPr>
                <w:sz w:val="22"/>
                <w:szCs w:val="22"/>
              </w:rPr>
              <w:t>The attainment of PP children in early reading and phonics is below that of their non-disadvantaged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5736D1A" w:rsidR="00E66558" w:rsidRDefault="007875FE">
            <w:pPr>
              <w:pStyle w:val="TableRowCentered"/>
              <w:jc w:val="left"/>
              <w:rPr>
                <w:sz w:val="22"/>
                <w:szCs w:val="22"/>
              </w:rPr>
            </w:pPr>
            <w:r w:rsidRPr="00A76616">
              <w:rPr>
                <w:sz w:val="22"/>
                <w:szCs w:val="22"/>
              </w:rPr>
              <w:t>Attainment of PP children in writing</w:t>
            </w:r>
            <w:r>
              <w:rPr>
                <w:sz w:val="22"/>
                <w:szCs w:val="22"/>
              </w:rPr>
              <w:t xml:space="preserve"> and maths</w:t>
            </w:r>
            <w:r w:rsidRPr="00A76616">
              <w:rPr>
                <w:sz w:val="22"/>
                <w:szCs w:val="22"/>
              </w:rPr>
              <w:t xml:space="preserve"> across both key stages is below that of their non-PP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8994EB2" w:rsidR="00E66558" w:rsidRDefault="00CE5CA2" w:rsidP="00CE5CA2">
            <w:pPr>
              <w:pStyle w:val="TableRowCentered"/>
              <w:jc w:val="left"/>
              <w:rPr>
                <w:sz w:val="22"/>
                <w:szCs w:val="22"/>
              </w:rPr>
            </w:pPr>
            <w:r>
              <w:rPr>
                <w:sz w:val="22"/>
                <w:szCs w:val="22"/>
              </w:rPr>
              <w:t>Attendance</w:t>
            </w:r>
            <w:r w:rsidRPr="00CE5CA2">
              <w:rPr>
                <w:sz w:val="22"/>
                <w:szCs w:val="22"/>
              </w:rPr>
              <w:t xml:space="preserve"> of </w:t>
            </w:r>
            <w:r>
              <w:rPr>
                <w:sz w:val="22"/>
                <w:szCs w:val="22"/>
              </w:rPr>
              <w:t>disadvantaged</w:t>
            </w:r>
            <w:r w:rsidRPr="00CE5CA2">
              <w:rPr>
                <w:sz w:val="22"/>
                <w:szCs w:val="22"/>
              </w:rPr>
              <w:t xml:space="preserve"> children is below that of non-disadvantaged pupils (9</w:t>
            </w:r>
            <w:r w:rsidR="00920527">
              <w:rPr>
                <w:sz w:val="22"/>
                <w:szCs w:val="22"/>
              </w:rPr>
              <w:t>3</w:t>
            </w:r>
            <w:r w:rsidRPr="00CE5CA2">
              <w:rPr>
                <w:sz w:val="22"/>
                <w:szCs w:val="22"/>
              </w:rPr>
              <w:t>.</w:t>
            </w:r>
            <w:r w:rsidR="00920527">
              <w:rPr>
                <w:sz w:val="22"/>
                <w:szCs w:val="22"/>
              </w:rPr>
              <w:t>8</w:t>
            </w:r>
            <w:r w:rsidRPr="00CE5CA2">
              <w:rPr>
                <w:sz w:val="22"/>
                <w:szCs w:val="22"/>
              </w:rPr>
              <w:t>% compared to 95.</w:t>
            </w:r>
            <w:r w:rsidR="00920527">
              <w:rPr>
                <w:sz w:val="22"/>
                <w:szCs w:val="22"/>
              </w:rPr>
              <w:t>7</w:t>
            </w:r>
            <w:r w:rsidRPr="00CE5CA2">
              <w:rPr>
                <w:sz w:val="22"/>
                <w:szCs w:val="22"/>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41E5C89" w:rsidR="00E66558" w:rsidRDefault="00CE5CA2">
            <w:pPr>
              <w:pStyle w:val="TableRowCentered"/>
              <w:jc w:val="left"/>
              <w:rPr>
                <w:iCs/>
                <w:sz w:val="22"/>
              </w:rPr>
            </w:pPr>
            <w:r>
              <w:rPr>
                <w:iCs/>
                <w:sz w:val="22"/>
              </w:rPr>
              <w:t>A high percentage of our disadvantaged pupils are either on the SEND register or have recently been taken off it.  This brings with it multiple barriers to learning.</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7875FE"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3061DB6" w:rsidR="007875FE" w:rsidRDefault="007875FE" w:rsidP="007875FE">
            <w:pPr>
              <w:pStyle w:val="TableRow"/>
            </w:pPr>
            <w:r w:rsidRPr="00D11F72">
              <w:rPr>
                <w:rFonts w:cs="Arial"/>
                <w:color w:val="auto"/>
              </w:rPr>
              <w:t>Pupils in KS1 will pass the Phonics screening and develop reading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E976C" w14:textId="77777777" w:rsidR="007875FE" w:rsidRPr="00D11F72" w:rsidRDefault="007875FE" w:rsidP="007875FE">
            <w:pPr>
              <w:suppressAutoHyphens w:val="0"/>
              <w:autoSpaceDN/>
              <w:spacing w:before="60" w:after="120" w:line="240" w:lineRule="auto"/>
              <w:ind w:left="57" w:right="57"/>
              <w:rPr>
                <w:rFonts w:cs="Arial"/>
                <w:color w:val="auto"/>
              </w:rPr>
            </w:pPr>
            <w:r w:rsidRPr="00D11F72">
              <w:rPr>
                <w:rFonts w:cs="Arial"/>
                <w:color w:val="auto"/>
              </w:rPr>
              <w:t>Regular monitoring and ensuring all children make sufficient progress in phonics learning.</w:t>
            </w:r>
          </w:p>
          <w:p w14:paraId="00F3EEF1" w14:textId="77777777" w:rsidR="007875FE" w:rsidRPr="00D11F72" w:rsidRDefault="007875FE" w:rsidP="007875FE">
            <w:pPr>
              <w:suppressAutoHyphens w:val="0"/>
              <w:autoSpaceDN/>
              <w:spacing w:before="60" w:after="120" w:line="240" w:lineRule="auto"/>
              <w:ind w:left="57" w:right="57"/>
              <w:rPr>
                <w:rFonts w:cs="Arial"/>
                <w:color w:val="auto"/>
              </w:rPr>
            </w:pPr>
            <w:r w:rsidRPr="00D11F72">
              <w:rPr>
                <w:rFonts w:cs="Arial"/>
                <w:color w:val="auto"/>
              </w:rPr>
              <w:t>Phonics screening results shows all children have made good progress from their starting point.</w:t>
            </w:r>
          </w:p>
          <w:p w14:paraId="2A7D5505" w14:textId="29224BD3" w:rsidR="007875FE" w:rsidRDefault="007875FE" w:rsidP="007875FE">
            <w:pPr>
              <w:pStyle w:val="TableRowCentered"/>
              <w:jc w:val="left"/>
              <w:rPr>
                <w:sz w:val="22"/>
                <w:szCs w:val="22"/>
              </w:rPr>
            </w:pPr>
            <w:r w:rsidRPr="00D11F72">
              <w:rPr>
                <w:rFonts w:cs="Arial"/>
                <w:color w:val="auto"/>
              </w:rPr>
              <w:t>PP children’s attainment and progress in phonics is in line with peers.</w:t>
            </w:r>
          </w:p>
        </w:tc>
      </w:tr>
      <w:tr w:rsidR="007875F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3C3A0F1" w:rsidR="007875FE" w:rsidRDefault="007875FE" w:rsidP="007875FE">
            <w:pPr>
              <w:pStyle w:val="TableRow"/>
              <w:rPr>
                <w:sz w:val="22"/>
                <w:szCs w:val="22"/>
              </w:rPr>
            </w:pPr>
            <w:r w:rsidRPr="00D11F72">
              <w:rPr>
                <w:rFonts w:cs="Arial"/>
                <w:color w:val="auto"/>
              </w:rPr>
              <w:t xml:space="preserve">Improved reading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200E0" w14:textId="0180D5A9" w:rsidR="007875FE" w:rsidRPr="00D11F72" w:rsidRDefault="007875FE" w:rsidP="007875FE">
            <w:pPr>
              <w:pStyle w:val="TableRowCentered"/>
              <w:spacing w:after="120"/>
              <w:ind w:left="0"/>
              <w:jc w:val="left"/>
              <w:rPr>
                <w:rFonts w:cs="Arial"/>
                <w:color w:val="auto"/>
                <w:szCs w:val="24"/>
                <w:lang w:eastAsia="en-US"/>
              </w:rPr>
            </w:pPr>
            <w:r w:rsidRPr="00D11F72">
              <w:rPr>
                <w:rFonts w:cs="Arial"/>
                <w:color w:val="auto"/>
                <w:szCs w:val="24"/>
                <w:lang w:eastAsia="en-US"/>
              </w:rPr>
              <w:t xml:space="preserve">Reading outcomes by </w:t>
            </w:r>
            <w:r>
              <w:rPr>
                <w:rFonts w:cs="Arial"/>
                <w:color w:val="auto"/>
                <w:szCs w:val="24"/>
                <w:lang w:eastAsia="en-US"/>
              </w:rPr>
              <w:t xml:space="preserve">end of strategy plan </w:t>
            </w:r>
            <w:r w:rsidRPr="00D11F72">
              <w:rPr>
                <w:rFonts w:cs="Arial"/>
                <w:color w:val="auto"/>
                <w:szCs w:val="24"/>
                <w:lang w:eastAsia="en-US"/>
              </w:rPr>
              <w:t xml:space="preserve">show that </w:t>
            </w:r>
            <w:r w:rsidRPr="00D11F72">
              <w:rPr>
                <w:rStyle w:val="CommentReference"/>
                <w:color w:val="auto"/>
              </w:rPr>
              <w:t xml:space="preserve">attainment of </w:t>
            </w:r>
            <w:r>
              <w:rPr>
                <w:rStyle w:val="CommentReference"/>
                <w:color w:val="auto"/>
              </w:rPr>
              <w:t>p</w:t>
            </w:r>
            <w:r>
              <w:rPr>
                <w:rStyle w:val="CommentReference"/>
              </w:rPr>
              <w:t>upil premium</w:t>
            </w:r>
            <w:r w:rsidRPr="00D11F72">
              <w:rPr>
                <w:rStyle w:val="CommentReference"/>
                <w:color w:val="auto"/>
              </w:rPr>
              <w:t xml:space="preserve"> pupils will be in line with non-</w:t>
            </w:r>
            <w:r>
              <w:rPr>
                <w:rStyle w:val="CommentReference"/>
                <w:color w:val="auto"/>
              </w:rPr>
              <w:t>p</w:t>
            </w:r>
            <w:r>
              <w:rPr>
                <w:rStyle w:val="CommentReference"/>
              </w:rPr>
              <w:t>upil premium</w:t>
            </w:r>
            <w:r w:rsidRPr="00D11F72">
              <w:rPr>
                <w:rStyle w:val="CommentReference"/>
                <w:color w:val="auto"/>
              </w:rPr>
              <w:t xml:space="preserve"> peers.</w:t>
            </w:r>
          </w:p>
          <w:p w14:paraId="2A7D5508" w14:textId="77777777" w:rsidR="007875FE" w:rsidRDefault="007875FE" w:rsidP="007875FE">
            <w:pPr>
              <w:pStyle w:val="TableRowCentered"/>
              <w:jc w:val="left"/>
              <w:rPr>
                <w:sz w:val="22"/>
                <w:szCs w:val="22"/>
              </w:rPr>
            </w:pPr>
          </w:p>
        </w:tc>
      </w:tr>
      <w:tr w:rsidR="007875F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EE85FDD" w:rsidR="007875FE" w:rsidRDefault="007875FE" w:rsidP="007875FE">
            <w:pPr>
              <w:pStyle w:val="TableRow"/>
              <w:rPr>
                <w:sz w:val="22"/>
                <w:szCs w:val="22"/>
              </w:rPr>
            </w:pPr>
            <w:r w:rsidRPr="00D11F72">
              <w:rPr>
                <w:rFonts w:cs="Arial"/>
                <w:color w:val="auto"/>
              </w:rPr>
              <w:t xml:space="preserve">Improved maths attainment for disadvantaged pupils at the end of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723F" w14:textId="46389D1A" w:rsidR="007875FE" w:rsidRPr="00D11F72" w:rsidRDefault="007875FE" w:rsidP="007875FE">
            <w:pPr>
              <w:pStyle w:val="TableRowCentered"/>
              <w:spacing w:after="120"/>
              <w:ind w:left="0"/>
              <w:jc w:val="left"/>
              <w:rPr>
                <w:rFonts w:cs="Arial"/>
                <w:color w:val="auto"/>
                <w:szCs w:val="24"/>
                <w:lang w:eastAsia="en-US"/>
              </w:rPr>
            </w:pPr>
            <w:r w:rsidRPr="00D11F72">
              <w:rPr>
                <w:rFonts w:cs="Arial"/>
                <w:color w:val="auto"/>
                <w:szCs w:val="24"/>
                <w:lang w:eastAsia="en-US"/>
              </w:rPr>
              <w:t xml:space="preserve">Maths outcomes by </w:t>
            </w:r>
            <w:r>
              <w:rPr>
                <w:rFonts w:cs="Arial"/>
                <w:color w:val="auto"/>
                <w:szCs w:val="24"/>
                <w:lang w:eastAsia="en-US"/>
              </w:rPr>
              <w:t>the end of the strategy plan will</w:t>
            </w:r>
            <w:r w:rsidRPr="00D11F72">
              <w:rPr>
                <w:rFonts w:cs="Arial"/>
                <w:color w:val="auto"/>
                <w:szCs w:val="24"/>
                <w:lang w:eastAsia="en-US"/>
              </w:rPr>
              <w:t xml:space="preserve"> show that </w:t>
            </w:r>
            <w:r w:rsidRPr="00D11F72">
              <w:rPr>
                <w:rStyle w:val="CommentReference"/>
                <w:color w:val="auto"/>
              </w:rPr>
              <w:t xml:space="preserve">attainment of </w:t>
            </w:r>
            <w:r>
              <w:rPr>
                <w:rStyle w:val="CommentReference"/>
                <w:color w:val="auto"/>
              </w:rPr>
              <w:t>p</w:t>
            </w:r>
            <w:r>
              <w:rPr>
                <w:rStyle w:val="CommentReference"/>
              </w:rPr>
              <w:t>upil premium</w:t>
            </w:r>
            <w:r w:rsidRPr="00D11F72">
              <w:rPr>
                <w:rStyle w:val="CommentReference"/>
                <w:color w:val="auto"/>
              </w:rPr>
              <w:t xml:space="preserve"> pupils will be in line with non-</w:t>
            </w:r>
            <w:r>
              <w:rPr>
                <w:rStyle w:val="CommentReference"/>
                <w:color w:val="auto"/>
              </w:rPr>
              <w:t>p</w:t>
            </w:r>
            <w:r>
              <w:rPr>
                <w:rStyle w:val="CommentReference"/>
              </w:rPr>
              <w:t>upil premium</w:t>
            </w:r>
            <w:r w:rsidRPr="00D11F72">
              <w:rPr>
                <w:rStyle w:val="CommentReference"/>
                <w:color w:val="auto"/>
              </w:rPr>
              <w:t xml:space="preserve"> peers.</w:t>
            </w:r>
          </w:p>
          <w:p w14:paraId="2A7D550B" w14:textId="77777777" w:rsidR="007875FE" w:rsidRDefault="007875FE" w:rsidP="007875FE">
            <w:pPr>
              <w:pStyle w:val="TableRowCentered"/>
              <w:jc w:val="left"/>
              <w:rPr>
                <w:sz w:val="22"/>
                <w:szCs w:val="22"/>
              </w:rPr>
            </w:pPr>
          </w:p>
        </w:tc>
      </w:tr>
      <w:tr w:rsidR="007875FE"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FD5AB9E" w:rsidR="007875FE" w:rsidRDefault="007875FE" w:rsidP="007875FE">
            <w:pPr>
              <w:pStyle w:val="TableRow"/>
              <w:rPr>
                <w:sz w:val="22"/>
                <w:szCs w:val="22"/>
              </w:rPr>
            </w:pPr>
            <w:r>
              <w:rPr>
                <w:rFonts w:cs="Arial"/>
                <w:color w:val="auto"/>
              </w:rPr>
              <w:t>Improved writing attainment for pupil premium pupils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7A4F882" w:rsidR="007875FE" w:rsidRDefault="007875FE" w:rsidP="007875FE">
            <w:pPr>
              <w:pStyle w:val="TableRowCentered"/>
              <w:jc w:val="left"/>
              <w:rPr>
                <w:sz w:val="22"/>
                <w:szCs w:val="22"/>
              </w:rPr>
            </w:pPr>
            <w:r>
              <w:rPr>
                <w:rFonts w:cs="Arial"/>
                <w:color w:val="auto"/>
                <w:szCs w:val="24"/>
                <w:lang w:eastAsia="en-US"/>
              </w:rPr>
              <w:t xml:space="preserve">Writing outcomes </w:t>
            </w:r>
            <w:r w:rsidRPr="00D11F72">
              <w:rPr>
                <w:rFonts w:cs="Arial"/>
                <w:color w:val="auto"/>
                <w:szCs w:val="24"/>
                <w:lang w:eastAsia="en-US"/>
              </w:rPr>
              <w:t xml:space="preserve">by </w:t>
            </w:r>
            <w:r>
              <w:rPr>
                <w:rFonts w:cs="Arial"/>
                <w:color w:val="auto"/>
                <w:szCs w:val="24"/>
                <w:lang w:eastAsia="en-US"/>
              </w:rPr>
              <w:t>the end of the strategy plan will</w:t>
            </w:r>
            <w:r w:rsidRPr="00D11F72">
              <w:rPr>
                <w:rFonts w:cs="Arial"/>
                <w:color w:val="auto"/>
                <w:szCs w:val="24"/>
                <w:lang w:eastAsia="en-US"/>
              </w:rPr>
              <w:t xml:space="preserve"> </w:t>
            </w:r>
            <w:r>
              <w:rPr>
                <w:rFonts w:cs="Arial"/>
                <w:color w:val="auto"/>
                <w:szCs w:val="24"/>
                <w:lang w:eastAsia="en-US"/>
              </w:rPr>
              <w:t>show that the attainment of pupil premium pupils is in line with non-pupil premium peers.</w:t>
            </w:r>
          </w:p>
        </w:tc>
      </w:tr>
    </w:tbl>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2A2B292" w:rsidR="00E66558" w:rsidRDefault="009D71E8">
      <w:r>
        <w:t xml:space="preserve">Budgeted cost: £ </w:t>
      </w:r>
      <w:r w:rsidR="00640B51">
        <w:rPr>
          <w:i/>
          <w:iCs/>
        </w:rPr>
        <w:t>1308.03</w:t>
      </w:r>
    </w:p>
    <w:tbl>
      <w:tblPr>
        <w:tblW w:w="5000" w:type="pct"/>
        <w:tblLayout w:type="fixed"/>
        <w:tblCellMar>
          <w:left w:w="10" w:type="dxa"/>
          <w:right w:w="10" w:type="dxa"/>
        </w:tblCellMar>
        <w:tblLook w:val="04A0" w:firstRow="1" w:lastRow="0" w:firstColumn="1" w:lastColumn="0" w:noHBand="0" w:noVBand="1"/>
      </w:tblPr>
      <w:tblGrid>
        <w:gridCol w:w="1980"/>
        <w:gridCol w:w="5386"/>
        <w:gridCol w:w="2120"/>
      </w:tblGrid>
      <w:tr w:rsidR="00E66558" w14:paraId="2A7D5519" w14:textId="77777777" w:rsidTr="00ED5650">
        <w:tc>
          <w:tcPr>
            <w:tcW w:w="19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ED5650">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E080617" w:rsidR="00E66558" w:rsidRDefault="00B46120">
            <w:pPr>
              <w:pStyle w:val="TableRow"/>
            </w:pPr>
            <w:r w:rsidRPr="00250EAA">
              <w:t>Update and extend our library for phonics programme and purchase additional resources to support teaching of phonics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3BF8" w14:textId="77777777" w:rsidR="00B46120" w:rsidRPr="00BC30C2" w:rsidRDefault="00B46120" w:rsidP="00B46120">
            <w:pPr>
              <w:spacing w:before="60" w:after="60" w:line="240" w:lineRule="auto"/>
              <w:ind w:left="57" w:right="57"/>
              <w:rPr>
                <w:rFonts w:cs="Arial"/>
                <w:color w:val="auto"/>
              </w:rPr>
            </w:pPr>
            <w:r w:rsidRPr="00BC30C2">
              <w:rPr>
                <w:rFonts w:cs="Arial"/>
                <w:color w:val="auto"/>
              </w:rPr>
              <w:t xml:space="preserve">Phonics approaches have a strong evidence base that indicates a positive impact on the accuracy of word reading (though not necessarily comprehension), particularly for disadvantaged pupils: </w:t>
            </w:r>
          </w:p>
          <w:p w14:paraId="2A7D551B" w14:textId="556A86B6" w:rsidR="00E66558" w:rsidRDefault="00B46120" w:rsidP="00B46120">
            <w:pPr>
              <w:pStyle w:val="TableRowCentered"/>
              <w:jc w:val="left"/>
              <w:rPr>
                <w:sz w:val="22"/>
              </w:rPr>
            </w:pPr>
            <w:hyperlink r:id="rId11" w:history="1">
              <w:r w:rsidRPr="00BC30C2">
                <w:rPr>
                  <w:color w:val="0070C0"/>
                  <w:szCs w:val="24"/>
                  <w:u w:val="single"/>
                </w:rPr>
                <w:t>Phonics | Toolkit Strand | Education Endowment Foundation | EEF</w:t>
              </w:r>
            </w:hyperlink>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2E584" w14:textId="61E09A50" w:rsidR="00E66558" w:rsidRDefault="0033600E">
            <w:pPr>
              <w:pStyle w:val="TableRowCentered"/>
              <w:jc w:val="left"/>
              <w:rPr>
                <w:sz w:val="22"/>
              </w:rPr>
            </w:pPr>
            <w:r>
              <w:rPr>
                <w:sz w:val="22"/>
              </w:rPr>
              <w:t>1, 4</w:t>
            </w:r>
          </w:p>
          <w:p w14:paraId="75C5D31C" w14:textId="77777777" w:rsidR="00EC0F7F" w:rsidRDefault="00EC0F7F">
            <w:pPr>
              <w:pStyle w:val="TableRowCentered"/>
              <w:jc w:val="left"/>
              <w:rPr>
                <w:sz w:val="22"/>
              </w:rPr>
            </w:pPr>
          </w:p>
          <w:p w14:paraId="2A7D551C" w14:textId="31BEF17E" w:rsidR="00EC0F7F" w:rsidRDefault="00EC0F7F">
            <w:pPr>
              <w:pStyle w:val="TableRowCentered"/>
              <w:jc w:val="left"/>
              <w:rPr>
                <w:sz w:val="22"/>
              </w:rPr>
            </w:pPr>
            <w:r>
              <w:rPr>
                <w:sz w:val="22"/>
              </w:rPr>
              <w:t>£500</w:t>
            </w:r>
          </w:p>
        </w:tc>
      </w:tr>
      <w:tr w:rsidR="00E66558" w14:paraId="2A7D5521" w14:textId="77777777" w:rsidTr="00ED5650">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2161BD5" w:rsidR="00E66558" w:rsidRDefault="007875FE" w:rsidP="00C6551C">
            <w:pPr>
              <w:pStyle w:val="TableRow"/>
              <w:spacing w:after="240"/>
              <w:ind w:left="29"/>
              <w:rPr>
                <w:i/>
                <w:sz w:val="22"/>
              </w:rPr>
            </w:pPr>
            <w:r w:rsidRPr="00D11F72">
              <w:rPr>
                <w:iCs/>
                <w:color w:val="auto"/>
                <w:lang w:val="en-US"/>
              </w:rPr>
              <w:t xml:space="preserve">Purchase of </w:t>
            </w:r>
            <w:proofErr w:type="spellStart"/>
            <w:r w:rsidRPr="00D11F72">
              <w:rPr>
                <w:iCs/>
                <w:color w:val="auto"/>
                <w:lang w:val="en-US"/>
              </w:rPr>
              <w:t>standardised</w:t>
            </w:r>
            <w:proofErr w:type="spellEnd"/>
            <w:r w:rsidRPr="00D11F72">
              <w:rPr>
                <w:iCs/>
                <w:color w:val="auto"/>
                <w:lang w:val="en-US"/>
              </w:rPr>
              <w:t xml:space="preserve"> assessments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242D" w14:textId="77777777" w:rsidR="007875FE" w:rsidRPr="00D11F72" w:rsidRDefault="007875FE" w:rsidP="007875FE">
            <w:pPr>
              <w:pStyle w:val="TableRowCentered"/>
              <w:jc w:val="left"/>
              <w:rPr>
                <w:color w:val="auto"/>
                <w:szCs w:val="24"/>
              </w:rPr>
            </w:pPr>
            <w:r w:rsidRPr="00D11F72">
              <w:rPr>
                <w:color w:val="auto"/>
                <w:szCs w:val="24"/>
              </w:rPr>
              <w:t>Standardised tests can provide reliable insights into the specific strengths and weaknesses of each pupil to help ensure they receive the correct additional support through interventions or teacher instruction:</w:t>
            </w:r>
          </w:p>
          <w:p w14:paraId="2A7D551F" w14:textId="3717C1C4" w:rsidR="00E66558" w:rsidRDefault="007875FE" w:rsidP="007875FE">
            <w:pPr>
              <w:pStyle w:val="TableRowCentered"/>
              <w:jc w:val="left"/>
              <w:rPr>
                <w:sz w:val="22"/>
              </w:rPr>
            </w:pPr>
            <w:hyperlink r:id="rId12" w:history="1">
              <w:r w:rsidRPr="00D11F72">
                <w:rPr>
                  <w:color w:val="0070C0"/>
                  <w:szCs w:val="24"/>
                  <w:u w:val="single"/>
                </w:rPr>
                <w:t>Standardised tests | Assessing and Monitoring Pupil Progress | Education Endowment Foundation | EEF</w:t>
              </w:r>
            </w:hyperlink>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328C" w14:textId="7275FB87" w:rsidR="0033600E" w:rsidRDefault="0033600E">
            <w:pPr>
              <w:pStyle w:val="TableRowCentered"/>
              <w:jc w:val="left"/>
              <w:rPr>
                <w:sz w:val="22"/>
              </w:rPr>
            </w:pPr>
            <w:r>
              <w:rPr>
                <w:sz w:val="22"/>
              </w:rPr>
              <w:t>1, 2, 4</w:t>
            </w:r>
          </w:p>
          <w:p w14:paraId="2A7D5520" w14:textId="008CCBD4" w:rsidR="00E66558" w:rsidRDefault="00ED5650">
            <w:pPr>
              <w:pStyle w:val="TableRowCentered"/>
              <w:jc w:val="left"/>
              <w:rPr>
                <w:sz w:val="22"/>
              </w:rPr>
            </w:pPr>
            <w:r>
              <w:rPr>
                <w:sz w:val="22"/>
              </w:rPr>
              <w:t>£</w:t>
            </w:r>
            <w:r w:rsidR="00640B51">
              <w:rPr>
                <w:sz w:val="22"/>
              </w:rPr>
              <w:t>808.03</w:t>
            </w:r>
          </w:p>
        </w:tc>
      </w:tr>
      <w:tr w:rsidR="007875FE" w14:paraId="3BB76358" w14:textId="77777777" w:rsidTr="00ED5650">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D2E0" w14:textId="0C7E26B8" w:rsidR="007875FE" w:rsidRPr="00D11F72" w:rsidRDefault="007875FE" w:rsidP="007875FE">
            <w:pPr>
              <w:pStyle w:val="TableRow"/>
              <w:spacing w:after="240"/>
              <w:ind w:left="29"/>
              <w:rPr>
                <w:iCs/>
                <w:color w:val="auto"/>
                <w:lang w:val="en-US"/>
              </w:rPr>
            </w:pPr>
            <w:r w:rsidRPr="007875FE">
              <w:rPr>
                <w:iCs/>
                <w:color w:val="auto"/>
              </w:rPr>
              <w:t xml:space="preserve">Quality first teaching for all pupils with continued focus on reading, writing and maths. Pupil Progress meetings track progress of PP pupils and appropriate, timely interventions are put in place. Subject Leaders have time to monitor </w:t>
            </w:r>
            <w:r w:rsidRPr="007875FE">
              <w:rPr>
                <w:iCs/>
                <w:color w:val="auto"/>
              </w:rPr>
              <w:lastRenderedPageBreak/>
              <w:t>effectiveness of this and provide challenge.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54A31" w14:textId="77777777" w:rsidR="007875FE" w:rsidRDefault="007875FE" w:rsidP="007875FE">
            <w:pPr>
              <w:pStyle w:val="TableRowCentered"/>
              <w:jc w:val="left"/>
              <w:rPr>
                <w:color w:val="auto"/>
                <w:szCs w:val="24"/>
              </w:rPr>
            </w:pPr>
            <w:r w:rsidRPr="007875FE">
              <w:rPr>
                <w:color w:val="auto"/>
                <w:szCs w:val="24"/>
              </w:rPr>
              <w:lastRenderedPageBreak/>
              <w:t>EEF guide to pupil premium – tiered approach – teaching is the top priority, including CPD. Sutton Trust – quality first teaching has direct impact on student outcomes</w:t>
            </w:r>
            <w:r>
              <w:rPr>
                <w:color w:val="auto"/>
                <w:szCs w:val="24"/>
              </w:rPr>
              <w:t>.</w:t>
            </w:r>
          </w:p>
          <w:p w14:paraId="3C659BAA" w14:textId="692953D4" w:rsidR="007875FE" w:rsidRPr="00D11F72" w:rsidRDefault="007875FE" w:rsidP="007875FE">
            <w:pPr>
              <w:pStyle w:val="TableRowCentered"/>
              <w:jc w:val="left"/>
              <w:rPr>
                <w:color w:val="auto"/>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8E235" w14:textId="77777777" w:rsidR="0033600E" w:rsidRDefault="0033600E" w:rsidP="0033600E">
            <w:pPr>
              <w:pStyle w:val="TableRowCentered"/>
              <w:jc w:val="left"/>
              <w:rPr>
                <w:sz w:val="22"/>
              </w:rPr>
            </w:pPr>
            <w:r>
              <w:rPr>
                <w:sz w:val="22"/>
              </w:rPr>
              <w:t>1, 2, 4</w:t>
            </w:r>
          </w:p>
          <w:p w14:paraId="21119CC1" w14:textId="77777777" w:rsidR="007875FE" w:rsidRDefault="007875FE">
            <w:pPr>
              <w:pStyle w:val="TableRowCentered"/>
              <w:jc w:val="left"/>
              <w:rPr>
                <w:sz w:val="22"/>
              </w:rPr>
            </w:pPr>
          </w:p>
        </w:tc>
      </w:tr>
      <w:tr w:rsidR="007875FE" w14:paraId="78788131" w14:textId="77777777" w:rsidTr="00ED5650">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0F0F" w14:textId="7161C3F3" w:rsidR="007875FE" w:rsidRPr="007875FE" w:rsidRDefault="007875FE" w:rsidP="007875FE">
            <w:pPr>
              <w:pStyle w:val="TableRow"/>
              <w:spacing w:after="240"/>
              <w:ind w:left="29"/>
              <w:rPr>
                <w:iCs/>
                <w:color w:val="auto"/>
              </w:rPr>
            </w:pPr>
            <w:r w:rsidRPr="007875FE">
              <w:rPr>
                <w:iCs/>
                <w:color w:val="auto"/>
              </w:rPr>
              <w:t>Enhancement of our maths teaching and curriculum planning in line with DfE and EEF guidance.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8C24" w14:textId="03744634" w:rsidR="007875FE" w:rsidRPr="007875FE" w:rsidRDefault="007875FE" w:rsidP="007875FE">
            <w:pPr>
              <w:pStyle w:val="TableRowCentered"/>
              <w:jc w:val="left"/>
              <w:rPr>
                <w:color w:val="auto"/>
                <w:szCs w:val="24"/>
              </w:rPr>
            </w:pPr>
            <w:hyperlink r:id="rId13" w:history="1">
              <w:r w:rsidRPr="00E67488">
                <w:rPr>
                  <w:rStyle w:val="Hyperlink"/>
                  <w:szCs w:val="24"/>
                </w:rPr>
                <w:t>https://educationendowmentfoundation.org.uk/education-evidence/guidance-reports/maths-ks-2-3</w:t>
              </w:r>
            </w:hyperlink>
            <w:r>
              <w:rPr>
                <w:color w:val="auto"/>
                <w:szCs w:val="24"/>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E3C0" w14:textId="1D48E86D" w:rsidR="0033600E" w:rsidRDefault="0033600E" w:rsidP="0033600E">
            <w:pPr>
              <w:pStyle w:val="TableRowCentered"/>
              <w:jc w:val="left"/>
              <w:rPr>
                <w:sz w:val="22"/>
              </w:rPr>
            </w:pPr>
            <w:r>
              <w:rPr>
                <w:sz w:val="22"/>
              </w:rPr>
              <w:t>2, 4</w:t>
            </w:r>
          </w:p>
          <w:p w14:paraId="3E4F04D0" w14:textId="77777777" w:rsidR="007875FE" w:rsidRDefault="007875FE">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655AC07" w:rsidR="00E66558" w:rsidRDefault="009D71E8">
      <w:r>
        <w:t xml:space="preserve">Budgeted cost: £ </w:t>
      </w:r>
      <w:r w:rsidR="00640B51">
        <w:rPr>
          <w:i/>
          <w:iCs/>
        </w:rPr>
        <w:t>7790.45</w:t>
      </w:r>
    </w:p>
    <w:tbl>
      <w:tblPr>
        <w:tblW w:w="5000" w:type="pct"/>
        <w:tblCellMar>
          <w:left w:w="10" w:type="dxa"/>
          <w:right w:w="10" w:type="dxa"/>
        </w:tblCellMar>
        <w:tblLook w:val="04A0" w:firstRow="1" w:lastRow="0" w:firstColumn="1" w:lastColumn="0" w:noHBand="0" w:noVBand="1"/>
      </w:tblPr>
      <w:tblGrid>
        <w:gridCol w:w="1976"/>
        <w:gridCol w:w="5871"/>
        <w:gridCol w:w="1639"/>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BCC7B49" w:rsidR="00E66558" w:rsidRDefault="00547B38">
            <w:pPr>
              <w:pStyle w:val="TableRow"/>
            </w:pPr>
            <w:r w:rsidRPr="00D11F72">
              <w:rPr>
                <w:rFonts w:cs="Arial"/>
                <w:iCs/>
                <w:color w:val="auto"/>
                <w:lang w:val="en-US"/>
              </w:rPr>
              <w:t>Additional phonics sessions targeted at disadvantaged pupils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991A0" w14:textId="77777777" w:rsidR="00547B38" w:rsidRPr="00D11F72" w:rsidRDefault="00547B38" w:rsidP="00547B38">
            <w:pPr>
              <w:pStyle w:val="TableRowCentered"/>
              <w:jc w:val="left"/>
              <w:rPr>
                <w:rFonts w:cs="Arial"/>
                <w:color w:val="auto"/>
                <w:szCs w:val="24"/>
              </w:rPr>
            </w:pPr>
            <w:r w:rsidRPr="00D11F7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A" w14:textId="6D648801" w:rsidR="00E66558" w:rsidRDefault="00547B38" w:rsidP="00547B38">
            <w:pPr>
              <w:pStyle w:val="TableRowCentered"/>
              <w:jc w:val="left"/>
              <w:rPr>
                <w:sz w:val="22"/>
              </w:rPr>
            </w:pPr>
            <w:hyperlink r:id="rId14" w:history="1">
              <w:r w:rsidRPr="00D11F72">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5368" w14:textId="7BCF7E09" w:rsidR="00E66558" w:rsidRDefault="0033600E">
            <w:pPr>
              <w:pStyle w:val="TableRowCentered"/>
              <w:jc w:val="left"/>
              <w:rPr>
                <w:sz w:val="22"/>
              </w:rPr>
            </w:pPr>
            <w:r>
              <w:rPr>
                <w:sz w:val="22"/>
              </w:rPr>
              <w:t>1, 4</w:t>
            </w:r>
          </w:p>
          <w:p w14:paraId="2A7D552B" w14:textId="595B7D9D" w:rsidR="00EC0F7F" w:rsidRDefault="00EC0F7F">
            <w:pPr>
              <w:pStyle w:val="TableRowCentered"/>
              <w:jc w:val="left"/>
              <w:rPr>
                <w:sz w:val="22"/>
              </w:rPr>
            </w:pPr>
            <w:r>
              <w:rPr>
                <w:sz w:val="22"/>
              </w:rPr>
              <w:t>£865.45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E5ADBD9" w:rsidR="00E66558" w:rsidRPr="00ED5650" w:rsidRDefault="00ED5650" w:rsidP="00ED5650">
            <w:pPr>
              <w:pStyle w:val="TableRow"/>
              <w:ind w:left="0"/>
              <w:rPr>
                <w:iCs/>
                <w:sz w:val="22"/>
              </w:rPr>
            </w:pPr>
            <w:r>
              <w:rPr>
                <w:iCs/>
                <w:sz w:val="22"/>
              </w:rPr>
              <w:t>Targeted academic interventions led either by the teacher or teaching assistant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C8C18" w14:textId="0D2EDBDA" w:rsidR="00ED5650" w:rsidRDefault="00640B51">
            <w:pPr>
              <w:pStyle w:val="TableRowCentered"/>
              <w:jc w:val="left"/>
              <w:rPr>
                <w:sz w:val="22"/>
              </w:rPr>
            </w:pPr>
            <w:r>
              <w:rPr>
                <w:sz w:val="22"/>
              </w:rPr>
              <w:t xml:space="preserve">Providing targeted interventions using either the teacher to deliver the session or teaching assistant has clear benefits to academic attainment.  </w:t>
            </w:r>
          </w:p>
          <w:p w14:paraId="10E12CE0" w14:textId="2B9C71AF" w:rsidR="00ED5650" w:rsidRDefault="00ED5650">
            <w:pPr>
              <w:pStyle w:val="TableRowCentered"/>
              <w:jc w:val="left"/>
              <w:rPr>
                <w:sz w:val="22"/>
              </w:rPr>
            </w:pPr>
            <w:hyperlink r:id="rId15" w:history="1">
              <w:r w:rsidRPr="00A7072F">
                <w:rPr>
                  <w:rStyle w:val="Hyperlink"/>
                  <w:sz w:val="22"/>
                </w:rPr>
                <w:t>https://educationendowmentfoundation.org.uk/education-evidence/guidance-reports/teaching-assistants</w:t>
              </w:r>
            </w:hyperlink>
          </w:p>
          <w:p w14:paraId="2D8963C8" w14:textId="77777777" w:rsidR="00ED5650" w:rsidRDefault="00ED5650">
            <w:pPr>
              <w:pStyle w:val="TableRowCentered"/>
              <w:jc w:val="left"/>
              <w:rPr>
                <w:sz w:val="22"/>
              </w:rPr>
            </w:pPr>
          </w:p>
          <w:p w14:paraId="2A7D552E" w14:textId="472613A8" w:rsidR="00E66558" w:rsidRDefault="00ED5650">
            <w:pPr>
              <w:pStyle w:val="TableRowCentered"/>
              <w:jc w:val="left"/>
              <w:rPr>
                <w:sz w:val="22"/>
              </w:rPr>
            </w:pPr>
            <w:hyperlink r:id="rId16" w:history="1">
              <w:r w:rsidRPr="00A7072F">
                <w:rPr>
                  <w:rStyle w:val="Hyperlink"/>
                  <w:sz w:val="22"/>
                </w:rPr>
                <w:t>https://educationendowmentfoundation.org.uk/education-evidence/teaching-learning-toolkit/teaching-assistant-interventions</w:t>
              </w:r>
            </w:hyperlink>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8041" w14:textId="36958E60" w:rsidR="0033600E" w:rsidRDefault="0033600E" w:rsidP="00640B51">
            <w:pPr>
              <w:pStyle w:val="TableRowCentered"/>
              <w:ind w:left="0"/>
              <w:jc w:val="left"/>
              <w:rPr>
                <w:sz w:val="22"/>
              </w:rPr>
            </w:pPr>
            <w:r>
              <w:rPr>
                <w:sz w:val="22"/>
              </w:rPr>
              <w:t>1, 2, 4</w:t>
            </w:r>
          </w:p>
          <w:p w14:paraId="08C09432" w14:textId="77777777" w:rsidR="0033600E" w:rsidRDefault="0033600E" w:rsidP="00640B51">
            <w:pPr>
              <w:pStyle w:val="TableRowCentered"/>
              <w:ind w:left="0"/>
              <w:jc w:val="left"/>
              <w:rPr>
                <w:sz w:val="22"/>
              </w:rPr>
            </w:pPr>
          </w:p>
          <w:p w14:paraId="2A7D552F" w14:textId="2F8126F7" w:rsidR="00640B51" w:rsidRDefault="00640B51" w:rsidP="00640B51">
            <w:pPr>
              <w:pStyle w:val="TableRowCentered"/>
              <w:ind w:left="0"/>
              <w:jc w:val="left"/>
              <w:rPr>
                <w:sz w:val="22"/>
              </w:rPr>
            </w:pPr>
            <w:r>
              <w:rPr>
                <w:sz w:val="22"/>
              </w:rPr>
              <w:t>120 mins per week £6922</w:t>
            </w:r>
          </w:p>
        </w:tc>
      </w:tr>
    </w:tbl>
    <w:p w14:paraId="0F1CB97E" w14:textId="77777777" w:rsidR="00640B51" w:rsidRDefault="00640B51" w:rsidP="00AA355B">
      <w:pPr>
        <w:pStyle w:val="Heading3"/>
      </w:pPr>
    </w:p>
    <w:p w14:paraId="15545D72" w14:textId="77777777" w:rsidR="00640B51" w:rsidRDefault="00640B51" w:rsidP="00AA355B">
      <w:pPr>
        <w:pStyle w:val="Heading3"/>
      </w:pPr>
    </w:p>
    <w:p w14:paraId="2A7D5532" w14:textId="75CB5A4E" w:rsidR="00E66558" w:rsidRPr="00AA355B" w:rsidRDefault="009D71E8" w:rsidP="00AA355B">
      <w:pPr>
        <w:pStyle w:val="Heading3"/>
      </w:pPr>
      <w:r>
        <w:t>Wider strategies (for example, related to attendance, behaviour, wellbeing)</w:t>
      </w:r>
    </w:p>
    <w:p w14:paraId="2A7D5533" w14:textId="10BE05EE" w:rsidR="00E66558" w:rsidRDefault="009D71E8">
      <w:pPr>
        <w:spacing w:before="240" w:after="120"/>
      </w:pPr>
      <w:r>
        <w:t xml:space="preserve">Budgeted cost: £ </w:t>
      </w:r>
      <w:r w:rsidR="00EC0F7F">
        <w:rPr>
          <w:i/>
          <w:iCs/>
        </w:rPr>
        <w:t>5696.52</w:t>
      </w:r>
    </w:p>
    <w:tbl>
      <w:tblPr>
        <w:tblW w:w="5000" w:type="pct"/>
        <w:tblLayout w:type="fixed"/>
        <w:tblCellMar>
          <w:left w:w="10" w:type="dxa"/>
          <w:right w:w="10" w:type="dxa"/>
        </w:tblCellMar>
        <w:tblLook w:val="04A0" w:firstRow="1" w:lastRow="0" w:firstColumn="1" w:lastColumn="0" w:noHBand="0" w:noVBand="1"/>
      </w:tblPr>
      <w:tblGrid>
        <w:gridCol w:w="2689"/>
        <w:gridCol w:w="4982"/>
        <w:gridCol w:w="1815"/>
      </w:tblGrid>
      <w:tr w:rsidR="00E66558" w14:paraId="2A7D5537" w14:textId="77777777" w:rsidTr="00B46120">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98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B46120">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0759" w14:textId="77777777" w:rsidR="00B46120" w:rsidRPr="00D11F72" w:rsidRDefault="00B46120" w:rsidP="00B46120">
            <w:pPr>
              <w:pStyle w:val="TableRow"/>
              <w:rPr>
                <w:iCs/>
                <w:color w:val="auto"/>
                <w:szCs w:val="28"/>
                <w:lang w:val="en-US"/>
              </w:rPr>
            </w:pPr>
            <w:r w:rsidRPr="00D11F72">
              <w:rPr>
                <w:iCs/>
                <w:color w:val="auto"/>
                <w:szCs w:val="28"/>
                <w:lang w:val="en-US"/>
              </w:rPr>
              <w:t>Individual and small group wellbeing</w:t>
            </w:r>
            <w:r>
              <w:rPr>
                <w:iCs/>
                <w:color w:val="auto"/>
                <w:szCs w:val="28"/>
                <w:lang w:val="en-US"/>
              </w:rPr>
              <w:t xml:space="preserve"> including, but not limited to:</w:t>
            </w:r>
          </w:p>
          <w:p w14:paraId="4C60B434" w14:textId="77777777" w:rsidR="00B46120" w:rsidRDefault="00B46120" w:rsidP="00B46120">
            <w:pPr>
              <w:pStyle w:val="TableRow"/>
              <w:numPr>
                <w:ilvl w:val="0"/>
                <w:numId w:val="15"/>
              </w:numPr>
              <w:rPr>
                <w:iCs/>
                <w:color w:val="auto"/>
                <w:szCs w:val="28"/>
                <w:lang w:val="en-US"/>
              </w:rPr>
            </w:pPr>
            <w:r w:rsidRPr="00D11F72">
              <w:rPr>
                <w:iCs/>
                <w:color w:val="auto"/>
                <w:szCs w:val="28"/>
                <w:lang w:val="en-US"/>
              </w:rPr>
              <w:t>ELSA</w:t>
            </w:r>
            <w:r>
              <w:rPr>
                <w:iCs/>
                <w:color w:val="auto"/>
                <w:szCs w:val="28"/>
                <w:lang w:val="en-US"/>
              </w:rPr>
              <w:t xml:space="preserve"> (including supervision)</w:t>
            </w:r>
          </w:p>
          <w:p w14:paraId="34EE04AF" w14:textId="77777777" w:rsidR="00B46120" w:rsidRDefault="00B46120" w:rsidP="00B46120">
            <w:pPr>
              <w:pStyle w:val="TableRow"/>
              <w:numPr>
                <w:ilvl w:val="0"/>
                <w:numId w:val="15"/>
              </w:numPr>
              <w:rPr>
                <w:iCs/>
                <w:color w:val="auto"/>
                <w:szCs w:val="28"/>
                <w:lang w:val="en-US"/>
              </w:rPr>
            </w:pPr>
            <w:r>
              <w:rPr>
                <w:iCs/>
                <w:color w:val="auto"/>
                <w:szCs w:val="28"/>
                <w:lang w:val="en-US"/>
              </w:rPr>
              <w:t>Lego play therapy</w:t>
            </w:r>
          </w:p>
          <w:p w14:paraId="2A368697" w14:textId="77777777" w:rsidR="00B46120" w:rsidRDefault="00B46120" w:rsidP="00B46120">
            <w:pPr>
              <w:pStyle w:val="TableRow"/>
              <w:numPr>
                <w:ilvl w:val="0"/>
                <w:numId w:val="15"/>
              </w:numPr>
              <w:rPr>
                <w:iCs/>
                <w:color w:val="auto"/>
                <w:szCs w:val="28"/>
                <w:lang w:val="en-US"/>
              </w:rPr>
            </w:pPr>
            <w:r>
              <w:rPr>
                <w:iCs/>
                <w:color w:val="auto"/>
                <w:szCs w:val="28"/>
                <w:lang w:val="en-US"/>
              </w:rPr>
              <w:t>Nurture groups</w:t>
            </w:r>
          </w:p>
          <w:p w14:paraId="08D6209B" w14:textId="77777777" w:rsidR="00B46120" w:rsidRDefault="00B46120" w:rsidP="00B46120">
            <w:pPr>
              <w:pStyle w:val="TableRow"/>
              <w:numPr>
                <w:ilvl w:val="0"/>
                <w:numId w:val="15"/>
              </w:numPr>
              <w:rPr>
                <w:iCs/>
                <w:color w:val="auto"/>
                <w:szCs w:val="28"/>
                <w:lang w:val="en-US"/>
              </w:rPr>
            </w:pPr>
            <w:r>
              <w:rPr>
                <w:iCs/>
                <w:color w:val="auto"/>
                <w:szCs w:val="28"/>
                <w:lang w:val="en-US"/>
              </w:rPr>
              <w:t>Forest school</w:t>
            </w:r>
          </w:p>
          <w:p w14:paraId="2A7D5538" w14:textId="331F3E71" w:rsidR="00E66558" w:rsidRDefault="00B46120" w:rsidP="00B46120">
            <w:pPr>
              <w:pStyle w:val="TableRow"/>
            </w:pPr>
            <w:r w:rsidRPr="00D11F72">
              <w:rPr>
                <w:iCs/>
                <w:color w:val="auto"/>
                <w:szCs w:val="28"/>
                <w:lang w:val="en-US"/>
              </w:rPr>
              <w:t>Monitoring &amp; support by SENCO</w:t>
            </w:r>
          </w:p>
        </w:tc>
        <w:tc>
          <w:tcPr>
            <w:tcW w:w="4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A2A77" w14:textId="77777777" w:rsidR="00B46120" w:rsidRPr="00D11F72" w:rsidRDefault="00B46120" w:rsidP="00B46120">
            <w:pPr>
              <w:pStyle w:val="TableRowCentered"/>
              <w:spacing w:after="120"/>
              <w:ind w:left="37"/>
              <w:jc w:val="left"/>
              <w:rPr>
                <w:color w:val="auto"/>
                <w:szCs w:val="22"/>
              </w:rPr>
            </w:pPr>
            <w:r w:rsidRPr="00D11F72">
              <w:rPr>
                <w:color w:val="auto"/>
                <w:szCs w:val="22"/>
              </w:rPr>
              <w:t>There is extensive evidence associating childhood social and emotional skills with improved outcomes at school and in later life</w:t>
            </w:r>
          </w:p>
          <w:p w14:paraId="6C1BCCBA" w14:textId="77777777" w:rsidR="00B46120" w:rsidRPr="00D11F72" w:rsidRDefault="00B46120" w:rsidP="00B46120">
            <w:pPr>
              <w:pStyle w:val="TableRowCentered"/>
              <w:spacing w:after="120"/>
              <w:ind w:left="37"/>
              <w:jc w:val="left"/>
              <w:rPr>
                <w:color w:val="auto"/>
                <w:szCs w:val="22"/>
              </w:rPr>
            </w:pPr>
            <w:r w:rsidRPr="00D11F72">
              <w:rPr>
                <w:color w:val="auto"/>
                <w:szCs w:val="22"/>
              </w:rPr>
              <w:t>(e.g. improved academic performance, attitudes, behaviour and relationships with peers):</w:t>
            </w:r>
          </w:p>
          <w:p w14:paraId="7BDF3C41" w14:textId="77777777" w:rsidR="00B46120" w:rsidRPr="00B46120" w:rsidRDefault="00B46120" w:rsidP="00B46120">
            <w:pPr>
              <w:pStyle w:val="TableRowCentered"/>
              <w:jc w:val="both"/>
              <w:rPr>
                <w:sz w:val="22"/>
              </w:rPr>
            </w:pPr>
            <w:hyperlink r:id="rId17" w:history="1">
              <w:r w:rsidRPr="00B46120">
                <w:rPr>
                  <w:rStyle w:val="Hyperlink"/>
                  <w:sz w:val="22"/>
                </w:rPr>
                <w:t>https://educationendowmentfoundation.org.uk/public/files/Publications/SEL/EEF_Social_and_Emotional_Learning.pdf</w:t>
              </w:r>
            </w:hyperlink>
            <w:r w:rsidRPr="00B46120">
              <w:rPr>
                <w:sz w:val="22"/>
              </w:rPr>
              <w:t xml:space="preserve"> </w:t>
            </w:r>
          </w:p>
          <w:p w14:paraId="2A7D5539" w14:textId="7F4899B1" w:rsidR="00E66558" w:rsidRDefault="00B46120">
            <w:pPr>
              <w:pStyle w:val="TableRowCentered"/>
              <w:jc w:val="left"/>
              <w:rPr>
                <w:sz w:val="22"/>
              </w:rPr>
            </w:pPr>
            <w:r w:rsidRPr="00D11F72">
              <w:rPr>
                <w:color w:val="auto"/>
                <w:szCs w:val="22"/>
              </w:rPr>
              <w:t>EEF: Social and emotional learning approaches have a positive impact, on average, of 4 months’ additional progress in academic outcomes over the course of an academic year; studies in the Toolkit focus primary on academic outcomes, but it is important to consider the other benefits of SEL interventions; evidence indicates that there is particular promise for approaches that focus on improving social interaction between pupils.</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96A3" w14:textId="4BBCBDC6" w:rsidR="0033600E" w:rsidRDefault="0033600E">
            <w:pPr>
              <w:pStyle w:val="TableRowCentered"/>
              <w:jc w:val="left"/>
              <w:rPr>
                <w:sz w:val="22"/>
              </w:rPr>
            </w:pPr>
            <w:r>
              <w:rPr>
                <w:sz w:val="22"/>
              </w:rPr>
              <w:t>3</w:t>
            </w:r>
          </w:p>
          <w:p w14:paraId="4ED13A77" w14:textId="77777777" w:rsidR="0033600E" w:rsidRDefault="0033600E">
            <w:pPr>
              <w:pStyle w:val="TableRowCentered"/>
              <w:jc w:val="left"/>
              <w:rPr>
                <w:sz w:val="22"/>
              </w:rPr>
            </w:pPr>
          </w:p>
          <w:p w14:paraId="49372312" w14:textId="4CA0C5CD" w:rsidR="00B46120" w:rsidRDefault="00B46120">
            <w:pPr>
              <w:pStyle w:val="TableRowCentered"/>
              <w:jc w:val="left"/>
              <w:rPr>
                <w:sz w:val="22"/>
              </w:rPr>
            </w:pPr>
            <w:r>
              <w:rPr>
                <w:sz w:val="22"/>
              </w:rPr>
              <w:t>7 hours per week. £18.22 per hour = £127.54 per week</w:t>
            </w:r>
          </w:p>
          <w:p w14:paraId="76DAEEA5" w14:textId="77777777" w:rsidR="00B46120" w:rsidRDefault="00B46120" w:rsidP="00B46120">
            <w:pPr>
              <w:pStyle w:val="TableRowCentered"/>
              <w:jc w:val="left"/>
              <w:rPr>
                <w:sz w:val="22"/>
              </w:rPr>
            </w:pPr>
            <w:r>
              <w:rPr>
                <w:sz w:val="22"/>
              </w:rPr>
              <w:t xml:space="preserve">38 weeks = </w:t>
            </w:r>
            <w:r w:rsidRPr="00B46120">
              <w:rPr>
                <w:b/>
                <w:bCs/>
                <w:sz w:val="22"/>
              </w:rPr>
              <w:t>£4846.52</w:t>
            </w:r>
          </w:p>
          <w:p w14:paraId="2A7D553A" w14:textId="4802194A" w:rsidR="00B46120" w:rsidRDefault="00B46120">
            <w:pPr>
              <w:pStyle w:val="TableRowCentered"/>
              <w:jc w:val="left"/>
              <w:rPr>
                <w:sz w:val="22"/>
              </w:rPr>
            </w:pPr>
          </w:p>
        </w:tc>
      </w:tr>
      <w:tr w:rsidR="00E66558" w14:paraId="2A7D553F" w14:textId="77777777" w:rsidTr="00B46120">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E525E8E" w:rsidR="00E66558" w:rsidRPr="003B73A0" w:rsidRDefault="003B73A0">
            <w:pPr>
              <w:pStyle w:val="TableRow"/>
              <w:rPr>
                <w:iCs/>
                <w:sz w:val="22"/>
              </w:rPr>
            </w:pPr>
            <w:r w:rsidRPr="003B73A0">
              <w:rPr>
                <w:iCs/>
                <w:sz w:val="22"/>
              </w:rPr>
              <w:t>Support for families to improve attendance</w:t>
            </w:r>
          </w:p>
        </w:tc>
        <w:tc>
          <w:tcPr>
            <w:tcW w:w="4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CA87" w14:textId="77777777" w:rsidR="00E66558" w:rsidRDefault="003B73A0">
            <w:pPr>
              <w:pStyle w:val="TableRowCentered"/>
              <w:jc w:val="left"/>
              <w:rPr>
                <w:sz w:val="22"/>
              </w:rPr>
            </w:pPr>
            <w:r w:rsidRPr="003B73A0">
              <w:rPr>
                <w:sz w:val="22"/>
              </w:rPr>
              <w:t xml:space="preserve">To monitor attendance and increase attendance for Pupil Premium pupils. </w:t>
            </w:r>
            <w:r>
              <w:rPr>
                <w:sz w:val="22"/>
              </w:rPr>
              <w:t>Specifically</w:t>
            </w:r>
            <w:r w:rsidRPr="003B73A0">
              <w:rPr>
                <w:sz w:val="22"/>
              </w:rPr>
              <w:t xml:space="preserve"> target those pupils whose attendance is below 95%</w:t>
            </w:r>
            <w:r>
              <w:rPr>
                <w:sz w:val="22"/>
              </w:rPr>
              <w:t xml:space="preserve"> for support.</w:t>
            </w:r>
          </w:p>
          <w:p w14:paraId="2A7D553D" w14:textId="76F3963F" w:rsidR="003B73A0" w:rsidRDefault="003B73A0">
            <w:pPr>
              <w:pStyle w:val="TableRowCentered"/>
              <w:jc w:val="left"/>
              <w:rPr>
                <w:sz w:val="22"/>
              </w:rPr>
            </w:pPr>
            <w:hyperlink r:id="rId18" w:history="1">
              <w:r w:rsidRPr="000612BB">
                <w:rPr>
                  <w:rStyle w:val="Hyperlink"/>
                  <w:sz w:val="22"/>
                </w:rPr>
                <w:t>https://educationendowmentfoundation.org.uk/education-evidence/evidence-reviews/attendance-interventions-rapid-evidence-assessment</w:t>
              </w:r>
            </w:hyperlink>
            <w:r>
              <w:rPr>
                <w:sz w:val="22"/>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44ED957" w:rsidR="00E66558" w:rsidRDefault="003B73A0">
            <w:pPr>
              <w:pStyle w:val="TableRowCentered"/>
              <w:jc w:val="left"/>
              <w:rPr>
                <w:sz w:val="22"/>
              </w:rPr>
            </w:pPr>
            <w:r>
              <w:rPr>
                <w:sz w:val="22"/>
              </w:rPr>
              <w:t>3</w:t>
            </w:r>
            <w:r w:rsidR="0033600E">
              <w:rPr>
                <w:sz w:val="22"/>
              </w:rPr>
              <w:t>, 4</w:t>
            </w:r>
          </w:p>
        </w:tc>
      </w:tr>
      <w:tr w:rsidR="00B46120" w14:paraId="459F3F18" w14:textId="77777777" w:rsidTr="00B46120">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FAB89" w14:textId="34F1EE2E" w:rsidR="00B46120" w:rsidRPr="003B73A0" w:rsidRDefault="00B46120">
            <w:pPr>
              <w:pStyle w:val="TableRow"/>
              <w:rPr>
                <w:iCs/>
                <w:sz w:val="22"/>
              </w:rPr>
            </w:pPr>
            <w:r>
              <w:rPr>
                <w:iCs/>
                <w:color w:val="auto"/>
                <w:szCs w:val="28"/>
                <w:lang w:val="en-US"/>
              </w:rPr>
              <w:t>50% reduction in the cost of school trips, c</w:t>
            </w:r>
            <w:r w:rsidRPr="00D11F72">
              <w:rPr>
                <w:iCs/>
                <w:color w:val="auto"/>
                <w:szCs w:val="28"/>
                <w:lang w:val="en-US"/>
              </w:rPr>
              <w:t>ontributions to school uniform</w:t>
            </w:r>
            <w:r>
              <w:rPr>
                <w:iCs/>
                <w:color w:val="auto"/>
                <w:szCs w:val="28"/>
                <w:lang w:val="en-US"/>
              </w:rPr>
              <w:t xml:space="preserve"> and </w:t>
            </w:r>
            <w:r w:rsidRPr="00D11F72">
              <w:rPr>
                <w:iCs/>
                <w:color w:val="auto"/>
                <w:szCs w:val="28"/>
                <w:lang w:val="en-US"/>
              </w:rPr>
              <w:t>extra-curricular clubs</w:t>
            </w:r>
          </w:p>
        </w:tc>
        <w:tc>
          <w:tcPr>
            <w:tcW w:w="4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3531" w14:textId="77777777" w:rsidR="00B46120" w:rsidRDefault="00B46120">
            <w:pPr>
              <w:pStyle w:val="TableRowCentered"/>
              <w:jc w:val="left"/>
              <w:rPr>
                <w:color w:val="auto"/>
                <w:szCs w:val="22"/>
              </w:rPr>
            </w:pPr>
            <w:r w:rsidRPr="00D11F72">
              <w:rPr>
                <w:color w:val="auto"/>
                <w:szCs w:val="22"/>
              </w:rPr>
              <w:t>Children should a sense of belonging and be included in all aspects of school life</w:t>
            </w:r>
            <w:r>
              <w:rPr>
                <w:color w:val="auto"/>
                <w:szCs w:val="22"/>
              </w:rPr>
              <w:t>.</w:t>
            </w:r>
          </w:p>
          <w:p w14:paraId="677462A3" w14:textId="6BBA8AD7" w:rsidR="00B46120" w:rsidRPr="003B73A0" w:rsidRDefault="00B46120">
            <w:pPr>
              <w:pStyle w:val="TableRowCentered"/>
              <w:jc w:val="left"/>
              <w:rPr>
                <w:sz w:val="22"/>
              </w:rPr>
            </w:pPr>
            <w:r w:rsidRPr="00D11F72">
              <w:t xml:space="preserve">Outcomes for children who </w:t>
            </w:r>
            <w:proofErr w:type="gramStart"/>
            <w:r w:rsidRPr="00D11F72">
              <w:t>are able to</w:t>
            </w:r>
            <w:proofErr w:type="gramEnd"/>
            <w:r w:rsidRPr="00D11F72">
              <w:t xml:space="preserve"> take part in extracurricular clubs and activities including the ‘arts’ are improved (EEF report on Arts participation). Can also support children to re-engage in their </w:t>
            </w:r>
            <w:r w:rsidRPr="00D11F72">
              <w:lastRenderedPageBreak/>
              <w:t>learning and improve well-being, feel valued and play an active part in school life.</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2829" w14:textId="77777777" w:rsidR="0033600E" w:rsidRDefault="0033600E">
            <w:pPr>
              <w:pStyle w:val="TableRowCentered"/>
              <w:jc w:val="left"/>
              <w:rPr>
                <w:sz w:val="22"/>
              </w:rPr>
            </w:pPr>
            <w:r>
              <w:rPr>
                <w:sz w:val="22"/>
              </w:rPr>
              <w:lastRenderedPageBreak/>
              <w:t>3</w:t>
            </w:r>
          </w:p>
          <w:p w14:paraId="03A21BE2" w14:textId="306B4808" w:rsidR="00B46120" w:rsidRDefault="00760F1E">
            <w:pPr>
              <w:pStyle w:val="TableRowCentered"/>
              <w:jc w:val="left"/>
              <w:rPr>
                <w:sz w:val="22"/>
              </w:rPr>
            </w:pPr>
            <w:r>
              <w:rPr>
                <w:sz w:val="22"/>
              </w:rPr>
              <w:t xml:space="preserve">550 </w:t>
            </w:r>
            <w:proofErr w:type="gramStart"/>
            <w:r>
              <w:rPr>
                <w:sz w:val="22"/>
              </w:rPr>
              <w:t>uniform</w:t>
            </w:r>
            <w:proofErr w:type="gramEnd"/>
          </w:p>
          <w:p w14:paraId="3049AC27" w14:textId="77777777" w:rsidR="00760F1E" w:rsidRDefault="00760F1E">
            <w:pPr>
              <w:pStyle w:val="TableRowCentered"/>
              <w:jc w:val="left"/>
              <w:rPr>
                <w:sz w:val="22"/>
              </w:rPr>
            </w:pPr>
            <w:r>
              <w:rPr>
                <w:sz w:val="22"/>
              </w:rPr>
              <w:t>£300 clubs/trips</w:t>
            </w:r>
          </w:p>
          <w:p w14:paraId="76F8E612" w14:textId="71E8FC1B" w:rsidR="00760F1E" w:rsidRPr="00760F1E" w:rsidRDefault="00760F1E">
            <w:pPr>
              <w:pStyle w:val="TableRowCentered"/>
              <w:jc w:val="left"/>
              <w:rPr>
                <w:b/>
                <w:bCs/>
                <w:sz w:val="22"/>
              </w:rPr>
            </w:pPr>
            <w:r>
              <w:rPr>
                <w:b/>
                <w:bCs/>
                <w:sz w:val="22"/>
              </w:rPr>
              <w:t>£850</w:t>
            </w:r>
          </w:p>
        </w:tc>
      </w:tr>
    </w:tbl>
    <w:p w14:paraId="2A7D5540" w14:textId="77777777" w:rsidR="00E66558" w:rsidRDefault="00E66558">
      <w:pPr>
        <w:spacing w:before="240" w:after="0"/>
        <w:rPr>
          <w:b/>
          <w:bCs/>
          <w:color w:val="104F75"/>
          <w:sz w:val="28"/>
          <w:szCs w:val="28"/>
        </w:rPr>
      </w:pPr>
    </w:p>
    <w:p w14:paraId="2A7D5541" w14:textId="39BE01E1" w:rsidR="00E66558" w:rsidRDefault="009D71E8" w:rsidP="00120AB1">
      <w:r>
        <w:rPr>
          <w:b/>
          <w:bCs/>
          <w:color w:val="104F75"/>
          <w:sz w:val="28"/>
          <w:szCs w:val="28"/>
        </w:rPr>
        <w:t xml:space="preserve">Total budgeted cost: £ </w:t>
      </w:r>
      <w:r w:rsidR="00640B51">
        <w:t>14,795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F97AA2" w14:textId="6A1B6C52" w:rsidR="00721B51" w:rsidRPr="00F4142A" w:rsidRDefault="00083FC9" w:rsidP="009B7433">
            <w:pPr>
              <w:suppressAutoHyphens w:val="0"/>
              <w:autoSpaceDN/>
              <w:rPr>
                <w:rFonts w:cs="Arial"/>
                <w:i/>
                <w:iCs/>
                <w:color w:val="000000"/>
              </w:rPr>
            </w:pPr>
            <w:r>
              <w:rPr>
                <w:rFonts w:cs="Arial"/>
                <w:i/>
                <w:iCs/>
                <w:color w:val="000000"/>
              </w:rPr>
              <w:t>S</w:t>
            </w:r>
            <w:r w:rsidR="00BB656C">
              <w:rPr>
                <w:rFonts w:cs="Arial"/>
                <w:i/>
                <w:iCs/>
                <w:color w:val="000000"/>
              </w:rPr>
              <w:t>chool-led tutoring has been used to support pupils in Y6</w:t>
            </w:r>
            <w:r>
              <w:rPr>
                <w:rFonts w:cs="Arial"/>
                <w:i/>
                <w:iCs/>
                <w:color w:val="000000"/>
              </w:rPr>
              <w:t>, including all disadvantaged pupils with reading comprehension skills and maths.  The average scaled score for those receiving tutoring for reading improved from 92 to 93.  For those receiving support in maths, it improved from 87 to 96.5.</w:t>
            </w:r>
          </w:p>
          <w:p w14:paraId="1CB6BA51" w14:textId="7847B64A" w:rsidR="00C04BC2" w:rsidRPr="00C04BC2" w:rsidRDefault="00C04BC2" w:rsidP="00242093">
            <w:pPr>
              <w:spacing w:before="60"/>
              <w:rPr>
                <w:rFonts w:cs="Arial"/>
                <w:i/>
                <w:iCs/>
                <w:color w:val="000000"/>
              </w:rPr>
            </w:pPr>
            <w:r>
              <w:rPr>
                <w:rFonts w:cs="Arial"/>
                <w:i/>
                <w:iCs/>
                <w:color w:val="000000"/>
              </w:rPr>
              <w:t>Phonics – Over the course of the last strategy plan, all KS1 pupils passed the Y1 PSC by Year 2.  However, often disadvantaged pupils do not pass whilst in Y1.</w:t>
            </w:r>
          </w:p>
          <w:p w14:paraId="6D3B4BCB" w14:textId="75ECF618" w:rsidR="00151132" w:rsidRPr="00083FC9" w:rsidRDefault="00151132" w:rsidP="00242093">
            <w:pPr>
              <w:spacing w:before="60"/>
              <w:rPr>
                <w:rFonts w:cs="Arial"/>
                <w:i/>
                <w:iCs/>
                <w:color w:val="000000"/>
                <w:u w:val="single"/>
              </w:rPr>
            </w:pPr>
            <w:r w:rsidRPr="00083FC9">
              <w:rPr>
                <w:rFonts w:cs="Arial"/>
                <w:i/>
                <w:iCs/>
                <w:color w:val="000000"/>
                <w:u w:val="single"/>
                <w:lang w:eastAsia="en-US"/>
              </w:rPr>
              <w:t>KS2 SATS – Disadvantaged pupils</w:t>
            </w:r>
          </w:p>
          <w:tbl>
            <w:tblPr>
              <w:tblStyle w:val="TableGrid"/>
              <w:tblW w:w="0" w:type="auto"/>
              <w:tblLook w:val="04A0" w:firstRow="1" w:lastRow="0" w:firstColumn="1" w:lastColumn="0" w:noHBand="0" w:noVBand="1"/>
            </w:tblPr>
            <w:tblGrid>
              <w:gridCol w:w="4633"/>
              <w:gridCol w:w="4634"/>
            </w:tblGrid>
            <w:tr w:rsidR="00151132" w14:paraId="2073EFAE" w14:textId="77777777" w:rsidTr="00151132">
              <w:tc>
                <w:tcPr>
                  <w:tcW w:w="4633" w:type="dxa"/>
                </w:tcPr>
                <w:p w14:paraId="37D8B3F1" w14:textId="2FD0AED1" w:rsidR="00151132" w:rsidRDefault="00151132" w:rsidP="00242093">
                  <w:pPr>
                    <w:spacing w:before="60"/>
                    <w:rPr>
                      <w:rFonts w:cs="Arial"/>
                      <w:i/>
                      <w:iCs/>
                      <w:color w:val="000000"/>
                      <w:lang w:eastAsia="en-US"/>
                    </w:rPr>
                  </w:pPr>
                  <w:r>
                    <w:rPr>
                      <w:rFonts w:cs="Arial"/>
                      <w:i/>
                      <w:iCs/>
                      <w:color w:val="000000"/>
                      <w:lang w:eastAsia="en-US"/>
                    </w:rPr>
                    <w:t>Reading</w:t>
                  </w:r>
                </w:p>
              </w:tc>
              <w:tc>
                <w:tcPr>
                  <w:tcW w:w="4634" w:type="dxa"/>
                </w:tcPr>
                <w:p w14:paraId="0F7BEE5C" w14:textId="29756D9C" w:rsidR="00151132" w:rsidRDefault="00151132" w:rsidP="00242093">
                  <w:pPr>
                    <w:spacing w:before="60"/>
                    <w:rPr>
                      <w:rFonts w:cs="Arial"/>
                      <w:i/>
                      <w:iCs/>
                      <w:color w:val="000000"/>
                      <w:lang w:eastAsia="en-US"/>
                    </w:rPr>
                  </w:pPr>
                  <w:r>
                    <w:rPr>
                      <w:rFonts w:cs="Arial"/>
                      <w:i/>
                      <w:iCs/>
                      <w:color w:val="000000"/>
                      <w:lang w:eastAsia="en-US"/>
                    </w:rPr>
                    <w:t>Average scaled score 90</w:t>
                  </w:r>
                </w:p>
              </w:tc>
            </w:tr>
            <w:tr w:rsidR="00151132" w14:paraId="77F6DF53" w14:textId="77777777" w:rsidTr="00151132">
              <w:tc>
                <w:tcPr>
                  <w:tcW w:w="4633" w:type="dxa"/>
                </w:tcPr>
                <w:p w14:paraId="518418BB" w14:textId="5EABDD5E" w:rsidR="00151132" w:rsidRDefault="00151132" w:rsidP="00242093">
                  <w:pPr>
                    <w:spacing w:before="60"/>
                    <w:rPr>
                      <w:rFonts w:cs="Arial"/>
                      <w:i/>
                      <w:iCs/>
                      <w:color w:val="000000"/>
                      <w:lang w:eastAsia="en-US"/>
                    </w:rPr>
                  </w:pPr>
                  <w:r>
                    <w:rPr>
                      <w:rFonts w:cs="Arial"/>
                      <w:i/>
                      <w:iCs/>
                      <w:color w:val="000000"/>
                      <w:lang w:eastAsia="en-US"/>
                    </w:rPr>
                    <w:t>Writing</w:t>
                  </w:r>
                </w:p>
              </w:tc>
              <w:tc>
                <w:tcPr>
                  <w:tcW w:w="4634" w:type="dxa"/>
                </w:tcPr>
                <w:p w14:paraId="53B593E0" w14:textId="69404E2C" w:rsidR="00151132" w:rsidRDefault="00C04BC2" w:rsidP="00242093">
                  <w:pPr>
                    <w:spacing w:before="60"/>
                    <w:rPr>
                      <w:rFonts w:cs="Arial"/>
                      <w:i/>
                      <w:iCs/>
                      <w:color w:val="000000"/>
                      <w:lang w:eastAsia="en-US"/>
                    </w:rPr>
                  </w:pPr>
                  <w:r>
                    <w:rPr>
                      <w:rFonts w:cs="Arial"/>
                      <w:i/>
                      <w:iCs/>
                      <w:color w:val="000000"/>
                      <w:lang w:eastAsia="en-US"/>
                    </w:rPr>
                    <w:t>1/3 EXS</w:t>
                  </w:r>
                </w:p>
              </w:tc>
            </w:tr>
            <w:tr w:rsidR="00151132" w14:paraId="78CDA2A3" w14:textId="77777777" w:rsidTr="00151132">
              <w:tc>
                <w:tcPr>
                  <w:tcW w:w="4633" w:type="dxa"/>
                </w:tcPr>
                <w:p w14:paraId="60887645" w14:textId="275B06F7" w:rsidR="00151132" w:rsidRDefault="00151132" w:rsidP="00242093">
                  <w:pPr>
                    <w:spacing w:before="60"/>
                    <w:rPr>
                      <w:rFonts w:cs="Arial"/>
                      <w:i/>
                      <w:iCs/>
                      <w:color w:val="000000"/>
                      <w:lang w:eastAsia="en-US"/>
                    </w:rPr>
                  </w:pPr>
                  <w:r>
                    <w:rPr>
                      <w:rFonts w:cs="Arial"/>
                      <w:i/>
                      <w:iCs/>
                      <w:color w:val="000000"/>
                      <w:lang w:eastAsia="en-US"/>
                    </w:rPr>
                    <w:t>Maths</w:t>
                  </w:r>
                </w:p>
              </w:tc>
              <w:tc>
                <w:tcPr>
                  <w:tcW w:w="4634" w:type="dxa"/>
                </w:tcPr>
                <w:p w14:paraId="4EEB2167" w14:textId="77777777" w:rsidR="00151132" w:rsidRDefault="00151132" w:rsidP="00242093">
                  <w:pPr>
                    <w:spacing w:before="60"/>
                    <w:rPr>
                      <w:rFonts w:cs="Arial"/>
                      <w:i/>
                      <w:iCs/>
                      <w:color w:val="000000"/>
                      <w:lang w:eastAsia="en-US"/>
                    </w:rPr>
                  </w:pPr>
                  <w:r>
                    <w:rPr>
                      <w:rFonts w:cs="Arial"/>
                      <w:i/>
                      <w:iCs/>
                      <w:color w:val="000000"/>
                      <w:lang w:eastAsia="en-US"/>
                    </w:rPr>
                    <w:t>Average scaled score 94</w:t>
                  </w:r>
                </w:p>
                <w:p w14:paraId="6E2E144C" w14:textId="2D6D5A90" w:rsidR="00C04BC2" w:rsidRDefault="00C04BC2" w:rsidP="00242093">
                  <w:pPr>
                    <w:spacing w:before="60"/>
                    <w:rPr>
                      <w:rFonts w:cs="Arial"/>
                      <w:i/>
                      <w:iCs/>
                      <w:color w:val="000000"/>
                      <w:lang w:eastAsia="en-US"/>
                    </w:rPr>
                  </w:pPr>
                  <w:r>
                    <w:rPr>
                      <w:rFonts w:cs="Arial"/>
                      <w:i/>
                      <w:iCs/>
                      <w:color w:val="000000"/>
                      <w:lang w:eastAsia="en-US"/>
                    </w:rPr>
                    <w:t>1/3 EXS</w:t>
                  </w:r>
                </w:p>
              </w:tc>
            </w:tr>
            <w:tr w:rsidR="00C04BC2" w14:paraId="543C2D0B" w14:textId="77777777" w:rsidTr="00151132">
              <w:tc>
                <w:tcPr>
                  <w:tcW w:w="4633" w:type="dxa"/>
                </w:tcPr>
                <w:p w14:paraId="48E34864" w14:textId="23C93848" w:rsidR="00C04BC2" w:rsidRDefault="00C04BC2" w:rsidP="00242093">
                  <w:pPr>
                    <w:spacing w:before="60"/>
                    <w:rPr>
                      <w:rFonts w:cs="Arial"/>
                      <w:i/>
                      <w:iCs/>
                      <w:color w:val="000000"/>
                      <w:lang w:eastAsia="en-US"/>
                    </w:rPr>
                  </w:pPr>
                  <w:r>
                    <w:rPr>
                      <w:rFonts w:cs="Arial"/>
                      <w:i/>
                      <w:iCs/>
                      <w:color w:val="000000"/>
                      <w:lang w:eastAsia="en-US"/>
                    </w:rPr>
                    <w:t>Grammar, punctuation &amp; spelling</w:t>
                  </w:r>
                </w:p>
              </w:tc>
              <w:tc>
                <w:tcPr>
                  <w:tcW w:w="4634" w:type="dxa"/>
                </w:tcPr>
                <w:p w14:paraId="525CFBFE" w14:textId="55D94D09" w:rsidR="00C04BC2" w:rsidRDefault="00C04BC2" w:rsidP="00242093">
                  <w:pPr>
                    <w:spacing w:before="60"/>
                    <w:rPr>
                      <w:rFonts w:cs="Arial"/>
                      <w:i/>
                      <w:iCs/>
                      <w:color w:val="000000"/>
                      <w:lang w:eastAsia="en-US"/>
                    </w:rPr>
                  </w:pPr>
                  <w:r>
                    <w:rPr>
                      <w:rFonts w:cs="Arial"/>
                      <w:i/>
                      <w:iCs/>
                      <w:color w:val="000000"/>
                      <w:lang w:eastAsia="en-US"/>
                    </w:rPr>
                    <w:t>Average scaled score 93</w:t>
                  </w:r>
                </w:p>
              </w:tc>
            </w:tr>
          </w:tbl>
          <w:p w14:paraId="566533FB" w14:textId="77777777" w:rsidR="00083FC9" w:rsidRDefault="00083FC9" w:rsidP="00242093">
            <w:pPr>
              <w:spacing w:before="60"/>
              <w:rPr>
                <w:rFonts w:cs="Arial"/>
                <w:color w:val="000000"/>
                <w:lang w:eastAsia="en-US"/>
              </w:rPr>
            </w:pPr>
          </w:p>
          <w:tbl>
            <w:tblPr>
              <w:tblStyle w:val="TableGrid"/>
              <w:tblW w:w="0" w:type="auto"/>
              <w:tblLook w:val="04A0" w:firstRow="1" w:lastRow="0" w:firstColumn="1" w:lastColumn="0" w:noHBand="0" w:noVBand="1"/>
            </w:tblPr>
            <w:tblGrid>
              <w:gridCol w:w="3089"/>
              <w:gridCol w:w="3089"/>
              <w:gridCol w:w="3089"/>
            </w:tblGrid>
            <w:tr w:rsidR="00083FC9" w14:paraId="123A9760" w14:textId="77777777" w:rsidTr="00083FC9">
              <w:tc>
                <w:tcPr>
                  <w:tcW w:w="3089" w:type="dxa"/>
                </w:tcPr>
                <w:p w14:paraId="58DCED98" w14:textId="77777777" w:rsidR="00083FC9" w:rsidRDefault="00083FC9" w:rsidP="00242093">
                  <w:pPr>
                    <w:spacing w:before="60"/>
                    <w:rPr>
                      <w:rFonts w:cs="Arial"/>
                      <w:color w:val="000000"/>
                      <w:lang w:eastAsia="en-US"/>
                    </w:rPr>
                  </w:pPr>
                </w:p>
              </w:tc>
              <w:tc>
                <w:tcPr>
                  <w:tcW w:w="3089" w:type="dxa"/>
                </w:tcPr>
                <w:p w14:paraId="2E93C11A" w14:textId="0E0C48FB" w:rsidR="00083FC9" w:rsidRDefault="00083FC9" w:rsidP="00242093">
                  <w:pPr>
                    <w:spacing w:before="60"/>
                    <w:rPr>
                      <w:rFonts w:cs="Arial"/>
                      <w:color w:val="000000"/>
                      <w:lang w:eastAsia="en-US"/>
                    </w:rPr>
                  </w:pPr>
                  <w:r w:rsidRPr="00083FC9">
                    <w:rPr>
                      <w:rFonts w:cs="Arial"/>
                      <w:color w:val="000000"/>
                      <w:lang w:eastAsia="en-US"/>
                    </w:rPr>
                    <w:t>Pupils eligible for PP</w:t>
                  </w:r>
                  <w:r>
                    <w:rPr>
                      <w:rFonts w:cs="Arial"/>
                      <w:color w:val="000000"/>
                      <w:lang w:eastAsia="en-US"/>
                    </w:rPr>
                    <w:t xml:space="preserve"> (3)</w:t>
                  </w:r>
                </w:p>
              </w:tc>
              <w:tc>
                <w:tcPr>
                  <w:tcW w:w="3089" w:type="dxa"/>
                </w:tcPr>
                <w:p w14:paraId="7563D6F6" w14:textId="2D08FE79" w:rsidR="00083FC9" w:rsidRDefault="00083FC9" w:rsidP="00242093">
                  <w:pPr>
                    <w:spacing w:before="60"/>
                    <w:rPr>
                      <w:rFonts w:cs="Arial"/>
                      <w:color w:val="000000"/>
                      <w:lang w:eastAsia="en-US"/>
                    </w:rPr>
                  </w:pPr>
                  <w:r w:rsidRPr="00083FC9">
                    <w:rPr>
                      <w:rFonts w:cs="Arial"/>
                      <w:color w:val="000000"/>
                      <w:lang w:eastAsia="en-US"/>
                    </w:rPr>
                    <w:t xml:space="preserve">Pupils </w:t>
                  </w:r>
                  <w:r>
                    <w:rPr>
                      <w:rFonts w:cs="Arial"/>
                      <w:color w:val="000000"/>
                      <w:lang w:eastAsia="en-US"/>
                    </w:rPr>
                    <w:t xml:space="preserve">not </w:t>
                  </w:r>
                  <w:r w:rsidRPr="00083FC9">
                    <w:rPr>
                      <w:rFonts w:cs="Arial"/>
                      <w:color w:val="000000"/>
                      <w:lang w:eastAsia="en-US"/>
                    </w:rPr>
                    <w:t>eligible for PP</w:t>
                  </w:r>
                  <w:r>
                    <w:rPr>
                      <w:rFonts w:cs="Arial"/>
                      <w:color w:val="000000"/>
                      <w:lang w:eastAsia="en-US"/>
                    </w:rPr>
                    <w:t xml:space="preserve"> (14)</w:t>
                  </w:r>
                </w:p>
              </w:tc>
            </w:tr>
            <w:tr w:rsidR="00083FC9" w14:paraId="1228022D" w14:textId="77777777" w:rsidTr="00083FC9">
              <w:tc>
                <w:tcPr>
                  <w:tcW w:w="3089" w:type="dxa"/>
                </w:tcPr>
                <w:p w14:paraId="6CCE0907" w14:textId="07979319" w:rsidR="00083FC9" w:rsidRDefault="00083FC9" w:rsidP="00242093">
                  <w:pPr>
                    <w:spacing w:before="60"/>
                    <w:rPr>
                      <w:rFonts w:cs="Arial"/>
                      <w:color w:val="000000"/>
                      <w:lang w:eastAsia="en-US"/>
                    </w:rPr>
                  </w:pPr>
                  <w:r>
                    <w:rPr>
                      <w:rFonts w:cs="Arial"/>
                      <w:color w:val="000000"/>
                      <w:lang w:eastAsia="en-US"/>
                    </w:rPr>
                    <w:t>% achieving EXS Maths</w:t>
                  </w:r>
                </w:p>
              </w:tc>
              <w:tc>
                <w:tcPr>
                  <w:tcW w:w="3089" w:type="dxa"/>
                </w:tcPr>
                <w:p w14:paraId="373D3280" w14:textId="2B352914" w:rsidR="00083FC9" w:rsidRDefault="00083FC9" w:rsidP="00242093">
                  <w:pPr>
                    <w:spacing w:before="60"/>
                    <w:rPr>
                      <w:rFonts w:cs="Arial"/>
                      <w:color w:val="000000"/>
                      <w:lang w:eastAsia="en-US"/>
                    </w:rPr>
                  </w:pPr>
                  <w:r>
                    <w:rPr>
                      <w:rFonts w:cs="Arial"/>
                      <w:color w:val="000000"/>
                      <w:lang w:eastAsia="en-US"/>
                    </w:rPr>
                    <w:t>33% (1/3)</w:t>
                  </w:r>
                </w:p>
              </w:tc>
              <w:tc>
                <w:tcPr>
                  <w:tcW w:w="3089" w:type="dxa"/>
                </w:tcPr>
                <w:p w14:paraId="41C73423" w14:textId="13C7D3E8" w:rsidR="00083FC9" w:rsidRDefault="00083FC9" w:rsidP="00242093">
                  <w:pPr>
                    <w:spacing w:before="60"/>
                    <w:rPr>
                      <w:rFonts w:cs="Arial"/>
                      <w:color w:val="000000"/>
                      <w:lang w:eastAsia="en-US"/>
                    </w:rPr>
                  </w:pPr>
                  <w:r>
                    <w:rPr>
                      <w:rFonts w:cs="Arial"/>
                      <w:color w:val="000000"/>
                      <w:lang w:eastAsia="en-US"/>
                    </w:rPr>
                    <w:t>71% (10/14)</w:t>
                  </w:r>
                </w:p>
              </w:tc>
            </w:tr>
            <w:tr w:rsidR="00083FC9" w14:paraId="23E48353" w14:textId="77777777" w:rsidTr="00083FC9">
              <w:tc>
                <w:tcPr>
                  <w:tcW w:w="3089" w:type="dxa"/>
                </w:tcPr>
                <w:p w14:paraId="4784C2D4" w14:textId="34065E09" w:rsidR="00083FC9" w:rsidRDefault="00083FC9" w:rsidP="00242093">
                  <w:pPr>
                    <w:spacing w:before="60"/>
                    <w:rPr>
                      <w:rFonts w:cs="Arial"/>
                      <w:color w:val="000000"/>
                      <w:lang w:eastAsia="en-US"/>
                    </w:rPr>
                  </w:pPr>
                  <w:r>
                    <w:rPr>
                      <w:rFonts w:cs="Arial"/>
                      <w:color w:val="000000"/>
                      <w:lang w:eastAsia="en-US"/>
                    </w:rPr>
                    <w:t>% achieving EXS Reading</w:t>
                  </w:r>
                </w:p>
              </w:tc>
              <w:tc>
                <w:tcPr>
                  <w:tcW w:w="3089" w:type="dxa"/>
                </w:tcPr>
                <w:p w14:paraId="4B331675" w14:textId="23AED17B" w:rsidR="00083FC9" w:rsidRDefault="00083FC9" w:rsidP="00242093">
                  <w:pPr>
                    <w:spacing w:before="60"/>
                    <w:rPr>
                      <w:rFonts w:cs="Arial"/>
                      <w:color w:val="000000"/>
                      <w:lang w:eastAsia="en-US"/>
                    </w:rPr>
                  </w:pPr>
                  <w:r>
                    <w:rPr>
                      <w:rFonts w:cs="Arial"/>
                      <w:color w:val="000000"/>
                      <w:lang w:eastAsia="en-US"/>
                    </w:rPr>
                    <w:t>0% (0/3)</w:t>
                  </w:r>
                </w:p>
              </w:tc>
              <w:tc>
                <w:tcPr>
                  <w:tcW w:w="3089" w:type="dxa"/>
                </w:tcPr>
                <w:p w14:paraId="01F15F5F" w14:textId="3FD32E80" w:rsidR="00083FC9" w:rsidRDefault="00083FC9" w:rsidP="00242093">
                  <w:pPr>
                    <w:spacing w:before="60"/>
                    <w:rPr>
                      <w:rFonts w:cs="Arial"/>
                      <w:color w:val="000000"/>
                      <w:lang w:eastAsia="en-US"/>
                    </w:rPr>
                  </w:pPr>
                  <w:r>
                    <w:rPr>
                      <w:rFonts w:cs="Arial"/>
                      <w:color w:val="000000"/>
                      <w:lang w:eastAsia="en-US"/>
                    </w:rPr>
                    <w:t>71% (10/14)</w:t>
                  </w:r>
                </w:p>
              </w:tc>
            </w:tr>
            <w:tr w:rsidR="00083FC9" w14:paraId="6949DF9B" w14:textId="77777777" w:rsidTr="00083FC9">
              <w:tc>
                <w:tcPr>
                  <w:tcW w:w="3089" w:type="dxa"/>
                </w:tcPr>
                <w:p w14:paraId="5DA0C517" w14:textId="3E05FCB4" w:rsidR="00083FC9" w:rsidRDefault="00083FC9" w:rsidP="00242093">
                  <w:pPr>
                    <w:spacing w:before="60"/>
                    <w:rPr>
                      <w:rFonts w:cs="Arial"/>
                      <w:color w:val="000000"/>
                      <w:lang w:eastAsia="en-US"/>
                    </w:rPr>
                  </w:pPr>
                  <w:r>
                    <w:rPr>
                      <w:rFonts w:cs="Arial"/>
                      <w:color w:val="000000"/>
                      <w:lang w:eastAsia="en-US"/>
                    </w:rPr>
                    <w:t>% achieving EXS Writing</w:t>
                  </w:r>
                </w:p>
              </w:tc>
              <w:tc>
                <w:tcPr>
                  <w:tcW w:w="3089" w:type="dxa"/>
                </w:tcPr>
                <w:p w14:paraId="7BB5E7D5" w14:textId="4C723451" w:rsidR="00083FC9" w:rsidRDefault="00083FC9" w:rsidP="00242093">
                  <w:pPr>
                    <w:spacing w:before="60"/>
                    <w:rPr>
                      <w:rFonts w:cs="Arial"/>
                      <w:color w:val="000000"/>
                      <w:lang w:eastAsia="en-US"/>
                    </w:rPr>
                  </w:pPr>
                  <w:r>
                    <w:rPr>
                      <w:rFonts w:cs="Arial"/>
                      <w:color w:val="000000"/>
                      <w:lang w:eastAsia="en-US"/>
                    </w:rPr>
                    <w:t>33% (1/3)</w:t>
                  </w:r>
                </w:p>
              </w:tc>
              <w:tc>
                <w:tcPr>
                  <w:tcW w:w="3089" w:type="dxa"/>
                </w:tcPr>
                <w:p w14:paraId="0C8BC67A" w14:textId="22F62999" w:rsidR="00083FC9" w:rsidRDefault="00083FC9" w:rsidP="00242093">
                  <w:pPr>
                    <w:spacing w:before="60"/>
                    <w:rPr>
                      <w:rFonts w:cs="Arial"/>
                      <w:color w:val="000000"/>
                      <w:lang w:eastAsia="en-US"/>
                    </w:rPr>
                  </w:pPr>
                  <w:r>
                    <w:rPr>
                      <w:rFonts w:cs="Arial"/>
                      <w:color w:val="000000"/>
                      <w:lang w:eastAsia="en-US"/>
                    </w:rPr>
                    <w:t>71% (10/14)</w:t>
                  </w:r>
                </w:p>
              </w:tc>
            </w:tr>
            <w:tr w:rsidR="00083FC9" w14:paraId="66C30638" w14:textId="77777777" w:rsidTr="00083FC9">
              <w:tc>
                <w:tcPr>
                  <w:tcW w:w="3089" w:type="dxa"/>
                </w:tcPr>
                <w:p w14:paraId="55E57E5F" w14:textId="7898ABB5" w:rsidR="00083FC9" w:rsidRDefault="00083FC9" w:rsidP="00242093">
                  <w:pPr>
                    <w:spacing w:before="60"/>
                    <w:rPr>
                      <w:rFonts w:cs="Arial"/>
                      <w:color w:val="000000"/>
                      <w:lang w:eastAsia="en-US"/>
                    </w:rPr>
                  </w:pPr>
                  <w:r>
                    <w:rPr>
                      <w:rFonts w:cs="Arial"/>
                      <w:color w:val="000000"/>
                      <w:lang w:eastAsia="en-US"/>
                    </w:rPr>
                    <w:t>% achieving EXS GPS</w:t>
                  </w:r>
                </w:p>
              </w:tc>
              <w:tc>
                <w:tcPr>
                  <w:tcW w:w="3089" w:type="dxa"/>
                </w:tcPr>
                <w:p w14:paraId="602DD3A8" w14:textId="789A3031" w:rsidR="00083FC9" w:rsidRDefault="00083FC9" w:rsidP="00242093">
                  <w:pPr>
                    <w:spacing w:before="60"/>
                    <w:rPr>
                      <w:rFonts w:cs="Arial"/>
                      <w:color w:val="000000"/>
                      <w:lang w:eastAsia="en-US"/>
                    </w:rPr>
                  </w:pPr>
                  <w:r>
                    <w:rPr>
                      <w:rFonts w:cs="Arial"/>
                      <w:color w:val="000000"/>
                      <w:lang w:eastAsia="en-US"/>
                    </w:rPr>
                    <w:t>0% (0/3)</w:t>
                  </w:r>
                </w:p>
              </w:tc>
              <w:tc>
                <w:tcPr>
                  <w:tcW w:w="3089" w:type="dxa"/>
                </w:tcPr>
                <w:p w14:paraId="591DC95E" w14:textId="428A7E9A" w:rsidR="00083FC9" w:rsidRDefault="00083FC9" w:rsidP="00242093">
                  <w:pPr>
                    <w:spacing w:before="60"/>
                    <w:rPr>
                      <w:rFonts w:cs="Arial"/>
                      <w:color w:val="000000"/>
                      <w:lang w:eastAsia="en-US"/>
                    </w:rPr>
                  </w:pPr>
                  <w:r>
                    <w:rPr>
                      <w:rFonts w:cs="Arial"/>
                      <w:color w:val="000000"/>
                      <w:lang w:eastAsia="en-US"/>
                    </w:rPr>
                    <w:t>79% (11/14)</w:t>
                  </w:r>
                </w:p>
              </w:tc>
            </w:tr>
          </w:tbl>
          <w:p w14:paraId="1248C7F1" w14:textId="77777777" w:rsidR="00083FC9" w:rsidRDefault="00083FC9" w:rsidP="00242093">
            <w:pPr>
              <w:spacing w:before="60"/>
              <w:rPr>
                <w:rFonts w:cs="Arial"/>
                <w:color w:val="000000"/>
                <w:lang w:eastAsia="en-US"/>
              </w:rPr>
            </w:pPr>
          </w:p>
          <w:p w14:paraId="5023926C" w14:textId="0387F82F" w:rsidR="00640B51" w:rsidRPr="00640B51" w:rsidRDefault="00640B51" w:rsidP="00242093">
            <w:pPr>
              <w:spacing w:before="60"/>
              <w:rPr>
                <w:lang w:eastAsia="en-US"/>
              </w:rPr>
            </w:pPr>
            <w:r>
              <w:rPr>
                <w:rFonts w:cs="Arial"/>
                <w:color w:val="000000"/>
                <w:lang w:eastAsia="en-US"/>
              </w:rPr>
              <w:t xml:space="preserve">Attendance of disadvantaged pupils over the course of 23/24 improved from 95% Autumn term to 95.6% in the </w:t>
            </w:r>
            <w:proofErr w:type="gramStart"/>
            <w:r>
              <w:rPr>
                <w:rFonts w:cs="Arial"/>
                <w:color w:val="000000"/>
                <w:lang w:eastAsia="en-US"/>
              </w:rPr>
              <w:t>Summer</w:t>
            </w:r>
            <w:proofErr w:type="gramEnd"/>
            <w:r>
              <w:rPr>
                <w:rFonts w:cs="Arial"/>
                <w:color w:val="000000"/>
                <w:lang w:eastAsia="en-US"/>
              </w:rPr>
              <w:t xml:space="preserve"> term.  This was above the FFT national average for FSM6 pupils of 91.8%.</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5"/>
      <w:bookmarkEnd w:id="16"/>
      <w:bookmarkEnd w:id="17"/>
    </w:tbl>
    <w:p w14:paraId="2A7D5564" w14:textId="77777777" w:rsidR="00E66558" w:rsidRDefault="00E66558"/>
    <w:sectPr w:rsidR="00E66558">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52C2323"/>
    <w:multiLevelType w:val="hybridMultilevel"/>
    <w:tmpl w:val="CC522342"/>
    <w:lvl w:ilvl="0" w:tplc="7BCEEC1E">
      <w:start w:val="5"/>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10"/>
  </w:num>
  <w:num w:numId="8" w16cid:durableId="982348153">
    <w:abstractNumId w:val="14"/>
  </w:num>
  <w:num w:numId="9" w16cid:durableId="1529290868">
    <w:abstractNumId w:val="12"/>
  </w:num>
  <w:num w:numId="10" w16cid:durableId="1171066271">
    <w:abstractNumId w:val="11"/>
  </w:num>
  <w:num w:numId="11" w16cid:durableId="1453552857">
    <w:abstractNumId w:val="2"/>
  </w:num>
  <w:num w:numId="12" w16cid:durableId="1812097430">
    <w:abstractNumId w:val="13"/>
  </w:num>
  <w:num w:numId="13" w16cid:durableId="42288650">
    <w:abstractNumId w:val="8"/>
  </w:num>
  <w:num w:numId="14" w16cid:durableId="1721712531">
    <w:abstractNumId w:val="7"/>
  </w:num>
  <w:num w:numId="15" w16cid:durableId="1896969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83FC9"/>
    <w:rsid w:val="000929EC"/>
    <w:rsid w:val="00093CDE"/>
    <w:rsid w:val="000976DB"/>
    <w:rsid w:val="000A5C58"/>
    <w:rsid w:val="000A6379"/>
    <w:rsid w:val="000B0D49"/>
    <w:rsid w:val="000B203E"/>
    <w:rsid w:val="000D22B0"/>
    <w:rsid w:val="000D35C9"/>
    <w:rsid w:val="000D520C"/>
    <w:rsid w:val="000D6596"/>
    <w:rsid w:val="000D6779"/>
    <w:rsid w:val="000E6DF0"/>
    <w:rsid w:val="0010217D"/>
    <w:rsid w:val="001037CB"/>
    <w:rsid w:val="0010629E"/>
    <w:rsid w:val="00114288"/>
    <w:rsid w:val="00115538"/>
    <w:rsid w:val="00116FA8"/>
    <w:rsid w:val="00120AB1"/>
    <w:rsid w:val="00123A7F"/>
    <w:rsid w:val="001278D0"/>
    <w:rsid w:val="00127F72"/>
    <w:rsid w:val="00140646"/>
    <w:rsid w:val="00147A4B"/>
    <w:rsid w:val="00151132"/>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00E"/>
    <w:rsid w:val="00336200"/>
    <w:rsid w:val="00337418"/>
    <w:rsid w:val="003459AC"/>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B73A0"/>
    <w:rsid w:val="003C4388"/>
    <w:rsid w:val="003C4C27"/>
    <w:rsid w:val="003C7F7B"/>
    <w:rsid w:val="003D0CD6"/>
    <w:rsid w:val="003D2EAA"/>
    <w:rsid w:val="003E054C"/>
    <w:rsid w:val="003E1EC5"/>
    <w:rsid w:val="003E1F3F"/>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D7167"/>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47B38"/>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0B51"/>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A7E"/>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0F1E"/>
    <w:rsid w:val="007610B5"/>
    <w:rsid w:val="007623CB"/>
    <w:rsid w:val="00762652"/>
    <w:rsid w:val="00764551"/>
    <w:rsid w:val="007677B8"/>
    <w:rsid w:val="00781713"/>
    <w:rsid w:val="00785285"/>
    <w:rsid w:val="0078529D"/>
    <w:rsid w:val="00785E77"/>
    <w:rsid w:val="007875FE"/>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0527"/>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082B"/>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342E8"/>
    <w:rsid w:val="00A44FBB"/>
    <w:rsid w:val="00A50104"/>
    <w:rsid w:val="00A522E0"/>
    <w:rsid w:val="00A52823"/>
    <w:rsid w:val="00A538DE"/>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46120"/>
    <w:rsid w:val="00B572C4"/>
    <w:rsid w:val="00B60858"/>
    <w:rsid w:val="00B6421D"/>
    <w:rsid w:val="00B74D4E"/>
    <w:rsid w:val="00B80219"/>
    <w:rsid w:val="00B87184"/>
    <w:rsid w:val="00B91453"/>
    <w:rsid w:val="00BA19A5"/>
    <w:rsid w:val="00BA501E"/>
    <w:rsid w:val="00BB656C"/>
    <w:rsid w:val="00BC078B"/>
    <w:rsid w:val="00BC3A7D"/>
    <w:rsid w:val="00BC67F6"/>
    <w:rsid w:val="00BD2004"/>
    <w:rsid w:val="00BD4B12"/>
    <w:rsid w:val="00BD700D"/>
    <w:rsid w:val="00BE2F92"/>
    <w:rsid w:val="00BE44AC"/>
    <w:rsid w:val="00BF0D5F"/>
    <w:rsid w:val="00BF59B3"/>
    <w:rsid w:val="00BF6F95"/>
    <w:rsid w:val="00C04BC2"/>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51C"/>
    <w:rsid w:val="00C65CBB"/>
    <w:rsid w:val="00C74684"/>
    <w:rsid w:val="00C77FEF"/>
    <w:rsid w:val="00C80F37"/>
    <w:rsid w:val="00C83289"/>
    <w:rsid w:val="00C83659"/>
    <w:rsid w:val="00C97A7F"/>
    <w:rsid w:val="00CA4421"/>
    <w:rsid w:val="00CA5363"/>
    <w:rsid w:val="00CA7D07"/>
    <w:rsid w:val="00CB24A4"/>
    <w:rsid w:val="00CB5B17"/>
    <w:rsid w:val="00CC4443"/>
    <w:rsid w:val="00CC5CAF"/>
    <w:rsid w:val="00CE5CA2"/>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5A4D"/>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C0F7F"/>
    <w:rsid w:val="00ED4136"/>
    <w:rsid w:val="00ED5108"/>
    <w:rsid w:val="00ED5650"/>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 TargetMode="External"/><Relationship Id="rId13" Type="http://schemas.openxmlformats.org/officeDocument/2006/relationships/hyperlink" Target="https://educationendowmentfoundation.org.uk/education-evidence/guidance-reports/maths-ks-2-3" TargetMode="External"/><Relationship Id="rId18" Type="http://schemas.openxmlformats.org/officeDocument/2006/relationships/hyperlink" Target="https://educationendowmentfoundation.org.uk/education-evidence/evidence-reviews/attendance-interventions-rapid-evidence-assessm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educationendowmentfoundation.org.uk/tools/assessing-and-monitoring-pupil-progress/testing/standardised-tests/" TargetMode="External"/><Relationship Id="rId17" Type="http://schemas.openxmlformats.org/officeDocument/2006/relationships/hyperlink" Target="https://educationendowmentfoundation.org.uk/public/files/Publications/SEL/EEF_Social_and_Emotional_Learning.pdf"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phonic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teaching-assistants" TargetMode="External"/><Relationship Id="rId10" Type="http://schemas.openxmlformats.org/officeDocument/2006/relationships/hyperlink" Target="https://www.gov.uk/government/publications/pupil-premiu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Leif Overment</cp:lastModifiedBy>
  <cp:revision>2</cp:revision>
  <cp:lastPrinted>2014-09-18T05:26:00Z</cp:lastPrinted>
  <dcterms:created xsi:type="dcterms:W3CDTF">2025-01-07T13:45:00Z</dcterms:created>
  <dcterms:modified xsi:type="dcterms:W3CDTF">2025-01-07T13:45:00Z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