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54B1" w14:textId="1FABEEC5"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671"/>
        <w:gridCol w:w="3041"/>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881C34B" w:rsidR="00E66558" w:rsidRPr="00E27862" w:rsidRDefault="00C0387E">
            <w:pPr>
              <w:pStyle w:val="TableRow"/>
              <w:rPr>
                <w:color w:val="auto"/>
              </w:rPr>
            </w:pPr>
            <w:r>
              <w:rPr>
                <w:color w:val="auto"/>
              </w:rPr>
              <w:t>Salway Ash CE VA Primary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52DEE64" w:rsidR="00E66558" w:rsidRPr="00E27862" w:rsidRDefault="00C0387E">
            <w:pPr>
              <w:pStyle w:val="TableRow"/>
              <w:rPr>
                <w:color w:val="auto"/>
              </w:rPr>
            </w:pPr>
            <w:r>
              <w:rPr>
                <w:color w:val="auto"/>
              </w:rPr>
              <w:t>113</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641F062" w:rsidR="00E66558" w:rsidRPr="00E27862" w:rsidRDefault="00C0387E" w:rsidP="00C0387E">
            <w:pPr>
              <w:pStyle w:val="TableRow"/>
              <w:ind w:left="0"/>
              <w:rPr>
                <w:color w:val="auto"/>
              </w:rPr>
            </w:pPr>
            <w:r>
              <w:rPr>
                <w:color w:val="auto"/>
              </w:rPr>
              <w:t>9.7%</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E1F1325" w:rsidR="00E66558" w:rsidRPr="00E27862" w:rsidRDefault="00C0387E">
            <w:pPr>
              <w:pStyle w:val="TableRow"/>
              <w:rPr>
                <w:color w:val="auto"/>
              </w:rPr>
            </w:pPr>
            <w:r>
              <w:rPr>
                <w:color w:val="auto"/>
              </w:rPr>
              <w:t>2021 -24</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92E61B6" w:rsidR="00E66558" w:rsidRPr="00E27862" w:rsidRDefault="00C0387E">
            <w:pPr>
              <w:pStyle w:val="TableRow"/>
              <w:rPr>
                <w:color w:val="auto"/>
              </w:rPr>
            </w:pPr>
            <w:r>
              <w:rPr>
                <w:color w:val="auto"/>
              </w:rPr>
              <w:t>8/12/21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36752D8" w:rsidR="00E66558" w:rsidRPr="00E27862" w:rsidRDefault="00C0387E">
            <w:pPr>
              <w:pStyle w:val="TableRow"/>
              <w:rPr>
                <w:color w:val="auto"/>
              </w:rPr>
            </w:pPr>
            <w:r>
              <w:rPr>
                <w:color w:val="auto"/>
              </w:rPr>
              <w:t>10/22</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DE1E622" w:rsidR="00E66558" w:rsidRPr="00E27862" w:rsidRDefault="00C0387E" w:rsidP="00DC649D">
            <w:pPr>
              <w:pStyle w:val="TableRow"/>
              <w:rPr>
                <w:color w:val="auto"/>
              </w:rPr>
            </w:pPr>
            <w:r>
              <w:rPr>
                <w:color w:val="auto"/>
              </w:rPr>
              <w:t>Leif Overment</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A104136" w:rsidR="00E66558" w:rsidRPr="00E27862" w:rsidRDefault="00C0387E">
            <w:pPr>
              <w:pStyle w:val="TableRow"/>
              <w:rPr>
                <w:color w:val="auto"/>
              </w:rPr>
            </w:pPr>
            <w:r>
              <w:rPr>
                <w:color w:val="auto"/>
              </w:rPr>
              <w:t>Leif Overment</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CA28816" w:rsidR="00E66558" w:rsidRPr="00E27862" w:rsidRDefault="00C0387E" w:rsidP="00547948">
            <w:pPr>
              <w:pStyle w:val="TableRow"/>
              <w:rPr>
                <w:color w:val="auto"/>
                <w:szCs w:val="28"/>
              </w:rPr>
            </w:pPr>
            <w:r>
              <w:rPr>
                <w:color w:val="auto"/>
                <w:szCs w:val="28"/>
              </w:rPr>
              <w:t>Darren Stanton</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AAFBACA" w:rsidR="00E66558" w:rsidRPr="00E27862" w:rsidRDefault="00C0387E">
            <w:pPr>
              <w:pStyle w:val="TableRow"/>
              <w:rPr>
                <w:color w:val="auto"/>
              </w:rPr>
            </w:pPr>
            <w:r>
              <w:rPr>
                <w:color w:val="auto"/>
              </w:rPr>
              <w:t>£14,795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9DBEDB" w:rsidR="00E66558" w:rsidRPr="00E27862" w:rsidRDefault="00C0387E">
            <w:pPr>
              <w:pStyle w:val="TableRow"/>
              <w:rPr>
                <w:color w:val="auto"/>
              </w:rPr>
            </w:pPr>
            <w:r>
              <w:rPr>
                <w:color w:val="auto"/>
              </w:rPr>
              <w:t>£2000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C4C1F6E" w:rsidR="00E66558" w:rsidRPr="00E27862" w:rsidRDefault="00C0387E">
            <w:pPr>
              <w:pStyle w:val="TableRow"/>
              <w:rPr>
                <w:color w:val="auto"/>
              </w:rPr>
            </w:pPr>
            <w:r w:rsidRPr="00C0387E">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8AFD1D8" w:rsidR="00E66558" w:rsidRPr="00E27862" w:rsidRDefault="00C0387E">
            <w:pPr>
              <w:pStyle w:val="TableRow"/>
              <w:rPr>
                <w:color w:val="auto"/>
              </w:rPr>
            </w:pPr>
            <w:r>
              <w:rPr>
                <w:color w:val="auto"/>
              </w:rPr>
              <w:t>£16,795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9A1B6B2" w:rsidR="00C07F5E" w:rsidRDefault="007347EE" w:rsidP="00840E17">
            <w:pPr>
              <w:spacing w:before="120"/>
              <w:rPr>
                <w:rFonts w:cs="Arial"/>
                <w:iCs/>
                <w:color w:val="auto"/>
                <w:lang w:val="en-US"/>
              </w:rPr>
            </w:pPr>
            <w:r>
              <w:rPr>
                <w:rFonts w:cs="Arial"/>
                <w:iCs/>
                <w:color w:val="auto"/>
              </w:rPr>
              <w:t>Salway Ash Primary School has high expectations of all pupils,</w:t>
            </w:r>
            <w:r w:rsidR="00C009DA" w:rsidRPr="00E27862">
              <w:rPr>
                <w:rFonts w:cs="Arial"/>
                <w:iCs/>
                <w:color w:val="auto"/>
              </w:rPr>
              <w:t xml:space="preserve"> irrespective of their backgro</w:t>
            </w:r>
            <w:r w:rsidR="00D11F72">
              <w:rPr>
                <w:rFonts w:cs="Arial"/>
                <w:iCs/>
                <w:color w:val="auto"/>
              </w:rPr>
              <w:t xml:space="preserve">und or the challenges they face.  We aim for all children to </w:t>
            </w:r>
            <w:r w:rsidR="00C009DA" w:rsidRPr="00E27862">
              <w:rPr>
                <w:rFonts w:cs="Arial"/>
                <w:iCs/>
                <w:color w:val="auto"/>
              </w:rPr>
              <w:t xml:space="preserve">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576B85F2" w14:textId="77777777" w:rsidR="00D11F72" w:rsidRPr="00D11F72" w:rsidRDefault="00D11F72" w:rsidP="00D11F72">
            <w:pPr>
              <w:suppressAutoHyphens w:val="0"/>
              <w:autoSpaceDN/>
              <w:rPr>
                <w:rFonts w:cs="Arial"/>
                <w:color w:val="auto"/>
              </w:rPr>
            </w:pPr>
            <w:r w:rsidRPr="00D11F72">
              <w:rPr>
                <w:rFonts w:cs="Arial"/>
                <w:color w:val="auto"/>
              </w:rPr>
              <w:t>Salway Ash’s strategy plan for Pupil Premium pupils is based on the EEF Pupil Prem</w:t>
            </w:r>
            <w:r w:rsidRPr="00D11F72">
              <w:rPr>
                <w:rFonts w:cs="Arial"/>
                <w:color w:val="auto"/>
              </w:rPr>
              <w:t>i</w:t>
            </w:r>
            <w:r w:rsidRPr="00D11F72">
              <w:rPr>
                <w:rFonts w:cs="Arial"/>
                <w:color w:val="auto"/>
              </w:rPr>
              <w:t>um Guide and the recommended tiered model which focuses on:</w:t>
            </w:r>
          </w:p>
          <w:p w14:paraId="52FE71F9" w14:textId="77777777" w:rsidR="00D11F72" w:rsidRPr="00D11F72" w:rsidRDefault="00D11F72" w:rsidP="00D11F72">
            <w:pPr>
              <w:pStyle w:val="ListParagraph"/>
              <w:numPr>
                <w:ilvl w:val="0"/>
                <w:numId w:val="35"/>
              </w:numPr>
              <w:suppressAutoHyphens w:val="0"/>
              <w:autoSpaceDN/>
              <w:rPr>
                <w:rFonts w:cs="Arial"/>
                <w:color w:val="auto"/>
              </w:rPr>
            </w:pPr>
            <w:r w:rsidRPr="00D11F72">
              <w:rPr>
                <w:rFonts w:cs="Arial"/>
                <w:color w:val="auto"/>
              </w:rPr>
              <w:t>high-quality teaching</w:t>
            </w:r>
          </w:p>
          <w:p w14:paraId="1813595C" w14:textId="77777777" w:rsidR="00D11F72" w:rsidRPr="00D11F72" w:rsidRDefault="00D11F72" w:rsidP="00D11F72">
            <w:pPr>
              <w:pStyle w:val="ListParagraph"/>
              <w:numPr>
                <w:ilvl w:val="0"/>
                <w:numId w:val="35"/>
              </w:numPr>
              <w:suppressAutoHyphens w:val="0"/>
              <w:autoSpaceDN/>
              <w:rPr>
                <w:rFonts w:cs="Arial"/>
                <w:color w:val="auto"/>
              </w:rPr>
            </w:pPr>
            <w:r w:rsidRPr="00D11F72">
              <w:rPr>
                <w:rFonts w:cs="Arial"/>
                <w:color w:val="auto"/>
              </w:rPr>
              <w:t>targeted academic support</w:t>
            </w:r>
          </w:p>
          <w:p w14:paraId="62BF13E8" w14:textId="3957DE43" w:rsidR="00D11F72" w:rsidRPr="00D11F72" w:rsidRDefault="00D11F72" w:rsidP="00D11F72">
            <w:pPr>
              <w:pStyle w:val="ListParagraph"/>
              <w:numPr>
                <w:ilvl w:val="0"/>
                <w:numId w:val="35"/>
              </w:numPr>
              <w:suppressAutoHyphens w:val="0"/>
              <w:autoSpaceDN/>
              <w:rPr>
                <w:rFonts w:cs="Arial"/>
                <w:color w:val="auto"/>
              </w:rPr>
            </w:pPr>
            <w:r w:rsidRPr="00D11F72">
              <w:rPr>
                <w:rFonts w:cs="Arial"/>
                <w:color w:val="auto"/>
              </w:rPr>
              <w:t>wider strategies</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1AEB9BE4" w:rsidR="00B34469" w:rsidRPr="003142E9" w:rsidRDefault="00B34469" w:rsidP="00C009DA">
            <w:pPr>
              <w:rPr>
                <w:rFonts w:cs="Arial"/>
                <w:color w:val="auto"/>
              </w:rPr>
            </w:pPr>
            <w:r w:rsidRPr="003142E9">
              <w:rPr>
                <w:rFonts w:cs="Arial"/>
                <w:color w:val="auto"/>
              </w:rPr>
              <w:t xml:space="preserve">Our strategy is also </w:t>
            </w:r>
            <w:r w:rsidR="00D11F72" w:rsidRPr="003142E9">
              <w:rPr>
                <w:rFonts w:cs="Arial"/>
                <w:color w:val="auto"/>
              </w:rPr>
              <w:t>part of</w:t>
            </w:r>
            <w:r w:rsidRPr="003142E9">
              <w:rPr>
                <w:rFonts w:cs="Arial"/>
                <w:color w:val="auto"/>
              </w:rPr>
              <w:t xml:space="preserve"> wider school plans for education recovery, notably</w:t>
            </w:r>
            <w:r w:rsidR="000E5753" w:rsidRPr="003142E9">
              <w:rPr>
                <w:rFonts w:cs="Arial"/>
                <w:color w:val="auto"/>
              </w:rPr>
              <w:t xml:space="preserve"> </w:t>
            </w:r>
            <w:r w:rsidR="00711F27" w:rsidRPr="003142E9">
              <w:rPr>
                <w:rFonts w:cs="Arial"/>
                <w:color w:val="auto"/>
              </w:rPr>
              <w:t>in its</w:t>
            </w:r>
            <w:r w:rsidR="000E5753" w:rsidRPr="003142E9">
              <w:rPr>
                <w:rFonts w:cs="Arial"/>
                <w:color w:val="auto"/>
              </w:rPr>
              <w:t xml:space="preserve"> </w:t>
            </w:r>
            <w:r w:rsidR="00E43C32" w:rsidRPr="003142E9">
              <w:rPr>
                <w:rFonts w:cs="Arial"/>
                <w:color w:val="auto"/>
              </w:rPr>
              <w:t>targeted support</w:t>
            </w:r>
            <w:r w:rsidRPr="003142E9">
              <w:rPr>
                <w:rFonts w:cs="Arial"/>
                <w:color w:val="auto"/>
              </w:rPr>
              <w:t xml:space="preserve"> </w:t>
            </w:r>
            <w:r w:rsidR="00160779" w:rsidRPr="003142E9">
              <w:rPr>
                <w:rFonts w:cs="Arial"/>
                <w:color w:val="auto"/>
              </w:rPr>
              <w:t>through</w:t>
            </w:r>
            <w:r w:rsidR="007A570E" w:rsidRPr="003142E9">
              <w:rPr>
                <w:rFonts w:cs="Arial"/>
                <w:color w:val="auto"/>
              </w:rPr>
              <w:t xml:space="preserve"> the </w:t>
            </w:r>
            <w:r w:rsidR="00D11F72" w:rsidRPr="003142E9">
              <w:rPr>
                <w:rFonts w:cs="Arial"/>
                <w:color w:val="auto"/>
              </w:rPr>
              <w:t>School-Led T</w:t>
            </w:r>
            <w:r w:rsidR="007A570E" w:rsidRPr="003142E9">
              <w:rPr>
                <w:rFonts w:cs="Arial"/>
                <w:color w:val="auto"/>
              </w:rPr>
              <w:t>utoring Programme</w:t>
            </w:r>
            <w:r w:rsidR="006C56E0" w:rsidRPr="003142E9">
              <w:rPr>
                <w:rFonts w:cs="Arial"/>
                <w:color w:val="auto"/>
              </w:rPr>
              <w:t xml:space="preserve"> </w:t>
            </w:r>
            <w:r w:rsidRPr="003142E9">
              <w:rPr>
                <w:rFonts w:cs="Arial"/>
                <w:color w:val="auto"/>
              </w:rPr>
              <w:t xml:space="preserve">for pupils whose education has been worst affected, including non-disadvantaged pupils.    </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6302E679" w:rsidR="007347EE" w:rsidRPr="00D11F72" w:rsidRDefault="00C009DA" w:rsidP="00D11F72">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w:t>
            </w:r>
            <w:r w:rsidRPr="00E27862">
              <w:rPr>
                <w:rFonts w:cs="Arial"/>
                <w:color w:val="auto"/>
              </w:rPr>
              <w:t>n</w:t>
            </w:r>
            <w:r w:rsidRPr="00E27862">
              <w:rPr>
                <w:rFonts w:cs="Arial"/>
                <w:color w:val="auto"/>
              </w:rPr>
              <w:t>taged pupils’ outcomes and raise expectations of what they can achieve</w:t>
            </w:r>
          </w:p>
        </w:tc>
      </w:tr>
    </w:tbl>
    <w:p w14:paraId="2A7D54EB" w14:textId="5AC44390"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2"/>
        <w:gridCol w:w="8200"/>
      </w:tblGrid>
      <w:tr w:rsidR="00E66558" w14:paraId="2A7D54EF" w14:textId="77777777" w:rsidTr="00E771D6">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771D6">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D11F72" w:rsidRDefault="009D71E8">
            <w:pPr>
              <w:pStyle w:val="TableRow"/>
              <w:rPr>
                <w:sz w:val="22"/>
                <w:szCs w:val="22"/>
              </w:rPr>
            </w:pPr>
            <w:r w:rsidRPr="00D11F72">
              <w:rPr>
                <w:color w:val="auto"/>
                <w:sz w:val="22"/>
                <w:szCs w:val="22"/>
              </w:rPr>
              <w:t>1</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CA79DB5" w:rsidR="00E66558" w:rsidRPr="00D11F72" w:rsidRDefault="007347EE" w:rsidP="00080CB4">
            <w:pPr>
              <w:suppressAutoHyphens w:val="0"/>
              <w:autoSpaceDN/>
              <w:spacing w:before="60" w:after="120" w:line="240" w:lineRule="auto"/>
              <w:ind w:left="57" w:right="57"/>
              <w:rPr>
                <w:rFonts w:cs="Arial"/>
                <w:iCs/>
                <w:color w:val="auto"/>
                <w:lang w:val="en-US"/>
              </w:rPr>
            </w:pPr>
            <w:r w:rsidRPr="00D11F72">
              <w:rPr>
                <w:rFonts w:cs="Arial"/>
                <w:iCs/>
                <w:color w:val="auto"/>
                <w:lang w:val="en-US"/>
              </w:rPr>
              <w:t>School assessment data shows that disadvantaged pupils have been more noticeably impacted by school closures than the rest of the school population.  Internal summative and formative school assessment info</w:t>
            </w:r>
            <w:r w:rsidRPr="00D11F72">
              <w:rPr>
                <w:rFonts w:cs="Arial"/>
                <w:iCs/>
                <w:color w:val="auto"/>
                <w:lang w:val="en-US"/>
              </w:rPr>
              <w:t>r</w:t>
            </w:r>
            <w:r w:rsidRPr="00D11F72">
              <w:rPr>
                <w:rFonts w:cs="Arial"/>
                <w:iCs/>
                <w:color w:val="auto"/>
                <w:lang w:val="en-US"/>
              </w:rPr>
              <w:t>mation indicates</w:t>
            </w:r>
            <w:r w:rsidRPr="00D11F72">
              <w:rPr>
                <w:iCs/>
                <w:color w:val="auto"/>
                <w:lang w:val="en-US"/>
              </w:rPr>
              <w:t xml:space="preserve"> that maths attainment among disadvantaged pupils is significantly below that of non-disadvantaged pupils, with 50% are wor</w:t>
            </w:r>
            <w:r w:rsidRPr="00D11F72">
              <w:rPr>
                <w:iCs/>
                <w:color w:val="auto"/>
                <w:lang w:val="en-US"/>
              </w:rPr>
              <w:t>k</w:t>
            </w:r>
            <w:r w:rsidRPr="00D11F72">
              <w:rPr>
                <w:iCs/>
                <w:color w:val="auto"/>
                <w:lang w:val="en-US"/>
              </w:rPr>
              <w:t>ing at age related expectations.</w:t>
            </w:r>
          </w:p>
        </w:tc>
      </w:tr>
      <w:tr w:rsidR="00E66558" w14:paraId="2A7D54F5" w14:textId="77777777" w:rsidTr="00E771D6">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D11F72" w:rsidRDefault="009D71E8">
            <w:pPr>
              <w:pStyle w:val="TableRow"/>
              <w:rPr>
                <w:sz w:val="22"/>
                <w:szCs w:val="22"/>
              </w:rPr>
            </w:pPr>
            <w:r w:rsidRPr="00D11F72">
              <w:rPr>
                <w:color w:val="auto"/>
                <w:sz w:val="22"/>
                <w:szCs w:val="22"/>
              </w:rPr>
              <w:t>2</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AA19C5C" w:rsidR="00E66558" w:rsidRPr="00D11F72" w:rsidRDefault="5B509BD2" w:rsidP="00080CB4">
            <w:pPr>
              <w:suppressAutoHyphens w:val="0"/>
              <w:autoSpaceDN/>
              <w:spacing w:before="60" w:after="120" w:line="240" w:lineRule="auto"/>
              <w:ind w:left="57" w:right="57"/>
              <w:rPr>
                <w:color w:val="auto"/>
                <w:lang w:val="en-US"/>
              </w:rPr>
            </w:pPr>
            <w:r w:rsidRPr="00D11F72">
              <w:rPr>
                <w:color w:val="auto"/>
                <w:lang w:val="en-US"/>
              </w:rPr>
              <w:t>A</w:t>
            </w:r>
            <w:r w:rsidR="622873F7" w:rsidRPr="00D11F72">
              <w:rPr>
                <w:color w:val="auto"/>
                <w:lang w:val="en-US"/>
              </w:rPr>
              <w:t xml:space="preserve">ssessments, </w:t>
            </w:r>
            <w:r w:rsidR="1FA3496F" w:rsidRPr="00D11F72">
              <w:rPr>
                <w:color w:val="auto"/>
                <w:lang w:val="en-US"/>
              </w:rPr>
              <w:t>observations,</w:t>
            </w:r>
            <w:r w:rsidR="622873F7" w:rsidRPr="00D11F72">
              <w:rPr>
                <w:color w:val="auto"/>
                <w:lang w:val="en-US"/>
              </w:rPr>
              <w:t xml:space="preserve"> and discussions with pupils</w:t>
            </w:r>
            <w:r w:rsidR="5EC57588" w:rsidRPr="00D11F72">
              <w:rPr>
                <w:color w:val="auto"/>
                <w:lang w:val="en-US"/>
              </w:rPr>
              <w:t xml:space="preserve"> s</w:t>
            </w:r>
            <w:r w:rsidR="672D04CF" w:rsidRPr="00D11F72">
              <w:rPr>
                <w:color w:val="auto"/>
                <w:lang w:val="en-US"/>
              </w:rPr>
              <w:t>uggest</w:t>
            </w:r>
            <w:r w:rsidR="5EC57588" w:rsidRPr="00D11F72">
              <w:rPr>
                <w:color w:val="auto"/>
                <w:lang w:val="en-US"/>
              </w:rPr>
              <w:t xml:space="preserve"> </w:t>
            </w:r>
            <w:r w:rsidR="2A92CF0D" w:rsidRPr="00D11F72">
              <w:rPr>
                <w:color w:val="auto"/>
                <w:lang w:val="en-US"/>
              </w:rPr>
              <w:t>dis</w:t>
            </w:r>
            <w:r w:rsidR="5EC57588" w:rsidRPr="00D11F72">
              <w:rPr>
                <w:color w:val="auto"/>
                <w:lang w:val="en-US"/>
              </w:rPr>
              <w:t>a</w:t>
            </w:r>
            <w:r w:rsidR="5EC57588" w:rsidRPr="00D11F72">
              <w:rPr>
                <w:color w:val="auto"/>
                <w:lang w:val="en-US"/>
              </w:rPr>
              <w:t>d</w:t>
            </w:r>
            <w:r w:rsidR="5EC57588" w:rsidRPr="00D11F72">
              <w:rPr>
                <w:color w:val="auto"/>
                <w:lang w:val="en-US"/>
              </w:rPr>
              <w:t>vantaged pupils</w:t>
            </w:r>
            <w:r w:rsidR="6C61CAE2" w:rsidRPr="00D11F72">
              <w:rPr>
                <w:color w:val="auto"/>
                <w:lang w:val="en-US"/>
              </w:rPr>
              <w:t xml:space="preserve"> </w:t>
            </w:r>
            <w:r w:rsidR="0F22852E" w:rsidRPr="00D11F72">
              <w:rPr>
                <w:color w:val="auto"/>
                <w:lang w:val="en-US"/>
              </w:rPr>
              <w:t xml:space="preserve">generally </w:t>
            </w:r>
            <w:r w:rsidR="0A9BA0B0" w:rsidRPr="00D11F72">
              <w:rPr>
                <w:color w:val="auto"/>
                <w:lang w:val="en-US"/>
              </w:rPr>
              <w:t>have greater difficulties with</w:t>
            </w:r>
            <w:r w:rsidR="5EC57588" w:rsidRPr="00D11F72">
              <w:rPr>
                <w:color w:val="auto"/>
                <w:lang w:val="en-US"/>
              </w:rPr>
              <w:t xml:space="preserve"> phonics</w:t>
            </w:r>
            <w:r w:rsidR="6C61CAE2" w:rsidRPr="00D11F72">
              <w:rPr>
                <w:color w:val="auto"/>
                <w:lang w:val="en-US"/>
              </w:rPr>
              <w:t xml:space="preserve"> than their peer</w:t>
            </w:r>
            <w:r w:rsidR="7E36FCC8" w:rsidRPr="00D11F72">
              <w:rPr>
                <w:color w:val="auto"/>
                <w:lang w:val="en-US"/>
              </w:rPr>
              <w:t xml:space="preserve">s. </w:t>
            </w:r>
            <w:r w:rsidR="06628302" w:rsidRPr="00D11F72">
              <w:rPr>
                <w:color w:val="auto"/>
                <w:lang w:val="en-US"/>
              </w:rPr>
              <w:t>This</w:t>
            </w:r>
            <w:r w:rsidR="5C827F8F" w:rsidRPr="00D11F72">
              <w:rPr>
                <w:color w:val="auto"/>
                <w:lang w:val="en-US"/>
              </w:rPr>
              <w:t xml:space="preserve"> negatively </w:t>
            </w:r>
            <w:r w:rsidR="5EC57588" w:rsidRPr="00D11F72">
              <w:rPr>
                <w:color w:val="auto"/>
                <w:lang w:val="en-US"/>
              </w:rPr>
              <w:t>impact</w:t>
            </w:r>
            <w:r w:rsidR="5C827F8F" w:rsidRPr="00D11F72">
              <w:rPr>
                <w:color w:val="auto"/>
                <w:lang w:val="en-US"/>
              </w:rPr>
              <w:t>s</w:t>
            </w:r>
            <w:r w:rsidR="5EC57588" w:rsidRPr="00D11F72">
              <w:rPr>
                <w:color w:val="auto"/>
                <w:lang w:val="en-US"/>
              </w:rPr>
              <w:t xml:space="preserve"> their development as readers.</w:t>
            </w:r>
            <w:r w:rsidR="5C827F8F" w:rsidRPr="00D11F72">
              <w:rPr>
                <w:color w:val="auto"/>
                <w:lang w:val="en-US"/>
              </w:rPr>
              <w:t xml:space="preserve"> </w:t>
            </w:r>
            <w:r w:rsidR="00E771D6" w:rsidRPr="00D11F72">
              <w:rPr>
                <w:color w:val="auto"/>
                <w:lang w:val="en-US"/>
              </w:rPr>
              <w:t>As pupils from disadvantaged backgrounds move through the school, they are less likely to be fluent readers</w:t>
            </w:r>
            <w:r w:rsidR="00080CB4" w:rsidRPr="00D11F72">
              <w:rPr>
                <w:color w:val="auto"/>
                <w:lang w:val="en-US"/>
              </w:rPr>
              <w:t xml:space="preserve"> and</w:t>
            </w:r>
            <w:r w:rsidR="00E771D6" w:rsidRPr="00D11F72">
              <w:rPr>
                <w:color w:val="auto"/>
                <w:lang w:val="en-US"/>
              </w:rPr>
              <w:t xml:space="preserve"> t</w:t>
            </w:r>
            <w:r w:rsidR="002A33B2" w:rsidRPr="00D11F72">
              <w:rPr>
                <w:color w:val="auto"/>
                <w:lang w:val="en-US"/>
              </w:rPr>
              <w:t xml:space="preserve">o read for </w:t>
            </w:r>
            <w:r w:rsidR="00080CB4" w:rsidRPr="00D11F72">
              <w:rPr>
                <w:color w:val="auto"/>
                <w:lang w:val="en-US"/>
              </w:rPr>
              <w:t>pleasure.</w:t>
            </w:r>
          </w:p>
        </w:tc>
      </w:tr>
      <w:tr w:rsidR="00E66558" w14:paraId="2A7D54FB" w14:textId="77777777" w:rsidTr="00E771D6">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1151594E" w:rsidR="00E66558" w:rsidRPr="00D11F72" w:rsidRDefault="007347EE">
            <w:pPr>
              <w:pStyle w:val="TableRow"/>
              <w:rPr>
                <w:sz w:val="22"/>
                <w:szCs w:val="22"/>
              </w:rPr>
            </w:pPr>
            <w:r w:rsidRPr="00D11F72">
              <w:rPr>
                <w:sz w:val="22"/>
                <w:szCs w:val="22"/>
              </w:rPr>
              <w:t>3</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65468BB1" w:rsidR="00660FD3" w:rsidRPr="00D11F72" w:rsidRDefault="00084CBA" w:rsidP="00CA52BB">
            <w:pPr>
              <w:suppressAutoHyphens w:val="0"/>
              <w:autoSpaceDN/>
              <w:spacing w:before="60" w:after="120" w:line="240" w:lineRule="auto"/>
              <w:ind w:left="57" w:right="57"/>
              <w:rPr>
                <w:rFonts w:cs="Arial"/>
                <w:color w:val="auto"/>
                <w:lang w:eastAsia="en-US"/>
              </w:rPr>
            </w:pPr>
            <w:r w:rsidRPr="00D11F72">
              <w:rPr>
                <w:rFonts w:cs="Arial"/>
                <w:iCs/>
                <w:color w:val="auto"/>
                <w:lang w:val="en-US"/>
              </w:rPr>
              <w:t>36% of Pupil Premium children are on the SEND register, with their ass</w:t>
            </w:r>
            <w:r w:rsidRPr="00D11F72">
              <w:rPr>
                <w:rFonts w:cs="Arial"/>
                <w:iCs/>
                <w:color w:val="auto"/>
                <w:lang w:val="en-US"/>
              </w:rPr>
              <w:t>o</w:t>
            </w:r>
            <w:r w:rsidRPr="00D11F72">
              <w:rPr>
                <w:rFonts w:cs="Arial"/>
                <w:iCs/>
                <w:color w:val="auto"/>
                <w:lang w:val="en-US"/>
              </w:rPr>
              <w:t>ciated SEND needs adding a barrier to their learning.</w:t>
            </w:r>
          </w:p>
        </w:tc>
      </w:tr>
      <w:tr w:rsidR="00E771D6" w14:paraId="6E089F95" w14:textId="77777777" w:rsidTr="00E771D6">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CBD31" w14:textId="203C9603" w:rsidR="00E771D6" w:rsidRPr="00D11F72" w:rsidRDefault="007347EE">
            <w:pPr>
              <w:pStyle w:val="TableRow"/>
              <w:rPr>
                <w:sz w:val="22"/>
                <w:szCs w:val="22"/>
              </w:rPr>
            </w:pPr>
            <w:r w:rsidRPr="00D11F72">
              <w:rPr>
                <w:sz w:val="22"/>
                <w:szCs w:val="22"/>
              </w:rPr>
              <w:t>4</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2E85A" w14:textId="33665416" w:rsidR="00E771D6" w:rsidRPr="00D11F72" w:rsidRDefault="00084CBA" w:rsidP="00084CBA">
            <w:pPr>
              <w:suppressAutoHyphens w:val="0"/>
              <w:autoSpaceDN/>
              <w:spacing w:before="60" w:line="240" w:lineRule="auto"/>
              <w:ind w:left="57" w:right="57"/>
              <w:rPr>
                <w:rFonts w:cs="Arial"/>
                <w:iCs/>
                <w:color w:val="auto"/>
                <w:lang w:val="en-US"/>
              </w:rPr>
            </w:pPr>
            <w:r w:rsidRPr="00D11F72">
              <w:rPr>
                <w:rFonts w:cs="Arial"/>
                <w:iCs/>
                <w:color w:val="auto"/>
                <w:lang w:val="en-US"/>
              </w:rPr>
              <w:t>Internal summative and formative school assessment information shows that 91% of Pupil Premium pupils are not working at age related expect</w:t>
            </w:r>
            <w:r w:rsidRPr="00D11F72">
              <w:rPr>
                <w:rFonts w:cs="Arial"/>
                <w:iCs/>
                <w:color w:val="auto"/>
                <w:lang w:val="en-US"/>
              </w:rPr>
              <w:t>a</w:t>
            </w:r>
            <w:r w:rsidRPr="00D11F72">
              <w:rPr>
                <w:rFonts w:cs="Arial"/>
                <w:iCs/>
                <w:color w:val="auto"/>
                <w:lang w:val="en-US"/>
              </w:rPr>
              <w:t>tions in writing.</w:t>
            </w:r>
          </w:p>
        </w:tc>
      </w:tr>
    </w:tbl>
    <w:p w14:paraId="2A7D54FF" w14:textId="5B257CEA"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97"/>
        <w:gridCol w:w="6815"/>
      </w:tblGrid>
      <w:tr w:rsidR="00E66558" w14:paraId="2A7D5503" w14:textId="77777777" w:rsidTr="004735ED">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4735ED">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17067CE7" w:rsidR="00451A23" w:rsidRPr="00D11F72" w:rsidRDefault="002A33B2" w:rsidP="00627225">
            <w:pPr>
              <w:pStyle w:val="TableRow"/>
              <w:spacing w:after="120"/>
              <w:rPr>
                <w:rFonts w:cs="Arial"/>
                <w:color w:val="auto"/>
              </w:rPr>
            </w:pPr>
            <w:r w:rsidRPr="00D11F72">
              <w:rPr>
                <w:rFonts w:cs="Arial"/>
                <w:color w:val="auto"/>
              </w:rPr>
              <w:t>Pupils in KS1 will pass the Phonics screening and develop reading skills.</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EBE65" w14:textId="77777777" w:rsidR="00C863B9" w:rsidRPr="00D11F72" w:rsidRDefault="002A33B2" w:rsidP="003E2ED5">
            <w:pPr>
              <w:suppressAutoHyphens w:val="0"/>
              <w:autoSpaceDN/>
              <w:spacing w:before="60" w:after="120" w:line="240" w:lineRule="auto"/>
              <w:ind w:left="57" w:right="57"/>
              <w:rPr>
                <w:rFonts w:cs="Arial"/>
                <w:color w:val="auto"/>
              </w:rPr>
            </w:pPr>
            <w:r w:rsidRPr="00D11F72">
              <w:rPr>
                <w:rFonts w:cs="Arial"/>
                <w:color w:val="auto"/>
              </w:rPr>
              <w:t>Regular monitoring and ensuring all children make sufficient progress in phonics learning.</w:t>
            </w:r>
          </w:p>
          <w:p w14:paraId="1CF05B13" w14:textId="4BE2B467" w:rsidR="002A33B2" w:rsidRPr="00D11F72" w:rsidRDefault="002A33B2" w:rsidP="003E2ED5">
            <w:pPr>
              <w:suppressAutoHyphens w:val="0"/>
              <w:autoSpaceDN/>
              <w:spacing w:before="60" w:after="120" w:line="240" w:lineRule="auto"/>
              <w:ind w:left="57" w:right="57"/>
              <w:rPr>
                <w:rFonts w:cs="Arial"/>
                <w:color w:val="auto"/>
              </w:rPr>
            </w:pPr>
            <w:r w:rsidRPr="00D11F72">
              <w:rPr>
                <w:rFonts w:cs="Arial"/>
                <w:color w:val="auto"/>
              </w:rPr>
              <w:t>Phonics screening results shows all children have made good progress from their starting point.</w:t>
            </w:r>
          </w:p>
          <w:p w14:paraId="2A7D5505" w14:textId="5FB591D3" w:rsidR="002A33B2" w:rsidRPr="00D11F72" w:rsidRDefault="002A33B2" w:rsidP="003E2ED5">
            <w:pPr>
              <w:suppressAutoHyphens w:val="0"/>
              <w:autoSpaceDN/>
              <w:spacing w:before="60" w:after="120" w:line="240" w:lineRule="auto"/>
              <w:ind w:left="57" w:right="57"/>
              <w:rPr>
                <w:rFonts w:cs="Arial"/>
                <w:color w:val="auto"/>
              </w:rPr>
            </w:pPr>
            <w:r w:rsidRPr="00D11F72">
              <w:rPr>
                <w:rFonts w:cs="Arial"/>
                <w:color w:val="auto"/>
              </w:rPr>
              <w:t>PP children’s attainment and progress in phonics is in line with peers.</w:t>
            </w:r>
          </w:p>
        </w:tc>
      </w:tr>
      <w:tr w:rsidR="00E66558" w14:paraId="2A7D550C" w14:textId="77777777" w:rsidTr="004735ED">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63B2334" w:rsidR="00CB316E" w:rsidRPr="00D11F72" w:rsidRDefault="00CB316E" w:rsidP="00A6450E">
            <w:pPr>
              <w:pStyle w:val="TableRow"/>
              <w:spacing w:after="120"/>
              <w:ind w:left="29"/>
              <w:rPr>
                <w:rFonts w:cs="Arial"/>
                <w:color w:val="auto"/>
              </w:rPr>
            </w:pPr>
            <w:r w:rsidRPr="00D11F72">
              <w:rPr>
                <w:rFonts w:cs="Arial"/>
                <w:color w:val="auto"/>
              </w:rPr>
              <w:t>Improved reading a</w:t>
            </w:r>
            <w:r w:rsidR="003D4F5E" w:rsidRPr="00D11F72">
              <w:rPr>
                <w:rFonts w:cs="Arial"/>
                <w:color w:val="auto"/>
              </w:rPr>
              <w:t>ttainment</w:t>
            </w:r>
            <w:r w:rsidRPr="00D11F72">
              <w:rPr>
                <w:rFonts w:cs="Arial"/>
                <w:color w:val="auto"/>
              </w:rPr>
              <w:t xml:space="preserve"> </w:t>
            </w:r>
            <w:r w:rsidR="00A87062" w:rsidRPr="00D11F72">
              <w:rPr>
                <w:rFonts w:cs="Arial"/>
                <w:color w:val="auto"/>
              </w:rPr>
              <w:t>among</w:t>
            </w:r>
            <w:r w:rsidRPr="00D11F72">
              <w:rPr>
                <w:rFonts w:cs="Arial"/>
                <w:color w:val="auto"/>
              </w:rPr>
              <w:t xml:space="preserve"> disadvantaged pupils</w:t>
            </w:r>
            <w:r w:rsidR="00212A8E" w:rsidRPr="00D11F72">
              <w:rPr>
                <w:rFonts w:cs="Arial"/>
                <w:color w:val="auto"/>
              </w:rPr>
              <w:t>.</w:t>
            </w:r>
            <w:r w:rsidRPr="00D11F72">
              <w:rPr>
                <w:rFonts w:cs="Arial"/>
                <w:color w:val="auto"/>
              </w:rPr>
              <w:t xml:space="preserve"> </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FD2DC" w14:textId="65A635BA" w:rsidR="008B3345" w:rsidRPr="00D11F72" w:rsidRDefault="008B3345" w:rsidP="008B3345">
            <w:pPr>
              <w:pStyle w:val="TableRowCentered"/>
              <w:spacing w:after="120"/>
              <w:ind w:left="0"/>
              <w:jc w:val="left"/>
              <w:rPr>
                <w:rFonts w:cs="Arial"/>
                <w:color w:val="auto"/>
                <w:szCs w:val="24"/>
                <w:lang w:eastAsia="en-US"/>
              </w:rPr>
            </w:pPr>
            <w:r w:rsidRPr="00D11F72">
              <w:rPr>
                <w:rFonts w:cs="Arial"/>
                <w:color w:val="auto"/>
                <w:szCs w:val="24"/>
                <w:lang w:eastAsia="en-US"/>
              </w:rPr>
              <w:t xml:space="preserve">Reading outcomes by 2024/25 show that </w:t>
            </w:r>
            <w:r w:rsidRPr="00D11F72">
              <w:rPr>
                <w:rStyle w:val="CommentReference"/>
                <w:color w:val="auto"/>
              </w:rPr>
              <w:t>more than attainment of disadvantaged pupils will be in line with non-disadvantaged peers.</w:t>
            </w:r>
          </w:p>
          <w:p w14:paraId="2A7D550B" w14:textId="1AD8D213" w:rsidR="00A564D2" w:rsidRPr="00D11F72" w:rsidRDefault="00A564D2" w:rsidP="0040333F">
            <w:pPr>
              <w:pStyle w:val="TableRowCentered"/>
              <w:spacing w:after="120"/>
              <w:jc w:val="left"/>
              <w:rPr>
                <w:rFonts w:cs="Arial"/>
                <w:color w:val="auto"/>
                <w:lang w:eastAsia="en-US"/>
              </w:rPr>
            </w:pPr>
          </w:p>
        </w:tc>
      </w:tr>
      <w:tr w:rsidR="00B17E61" w14:paraId="118A844E" w14:textId="77777777" w:rsidTr="004735ED">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D11F72" w:rsidRDefault="00B17E61" w:rsidP="00B9445B">
            <w:pPr>
              <w:pStyle w:val="TableRow"/>
              <w:spacing w:after="120"/>
              <w:ind w:left="28"/>
              <w:rPr>
                <w:rFonts w:cs="Arial"/>
                <w:color w:val="auto"/>
              </w:rPr>
            </w:pPr>
            <w:r w:rsidRPr="00D11F72">
              <w:rPr>
                <w:rFonts w:cs="Arial"/>
                <w:color w:val="auto"/>
              </w:rPr>
              <w:t xml:space="preserve">Improved maths attainment for disadvantaged pupils </w:t>
            </w:r>
            <w:r w:rsidR="00BB1AD6" w:rsidRPr="00D11F72">
              <w:rPr>
                <w:rFonts w:cs="Arial"/>
                <w:color w:val="auto"/>
              </w:rPr>
              <w:t xml:space="preserve">at </w:t>
            </w:r>
            <w:r w:rsidR="00BB1AD6" w:rsidRPr="00D11F72">
              <w:rPr>
                <w:rFonts w:cs="Arial"/>
                <w:color w:val="auto"/>
              </w:rPr>
              <w:lastRenderedPageBreak/>
              <w:t>the end of KS2</w:t>
            </w:r>
            <w:r w:rsidR="00212A8E" w:rsidRPr="00D11F72">
              <w:rPr>
                <w:rFonts w:cs="Arial"/>
                <w:color w:val="auto"/>
              </w:rPr>
              <w:t>.</w:t>
            </w:r>
            <w:r w:rsidR="00BB1AD6" w:rsidRPr="00D11F72">
              <w:rPr>
                <w:rFonts w:cs="Arial"/>
                <w:color w:val="auto"/>
              </w:rPr>
              <w:t xml:space="preserve"> </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2D958" w14:textId="77930356" w:rsidR="008B3345" w:rsidRPr="00D11F72" w:rsidRDefault="008B3345" w:rsidP="008B3345">
            <w:pPr>
              <w:pStyle w:val="TableRowCentered"/>
              <w:spacing w:after="120"/>
              <w:ind w:left="0"/>
              <w:jc w:val="left"/>
              <w:rPr>
                <w:rFonts w:cs="Arial"/>
                <w:color w:val="auto"/>
                <w:szCs w:val="24"/>
                <w:lang w:eastAsia="en-US"/>
              </w:rPr>
            </w:pPr>
            <w:r w:rsidRPr="00D11F72">
              <w:rPr>
                <w:rFonts w:cs="Arial"/>
                <w:color w:val="auto"/>
                <w:szCs w:val="24"/>
                <w:lang w:eastAsia="en-US"/>
              </w:rPr>
              <w:lastRenderedPageBreak/>
              <w:t xml:space="preserve">Maths outcomes by 2024/25 show that </w:t>
            </w:r>
            <w:r w:rsidRPr="00D11F72">
              <w:rPr>
                <w:rStyle w:val="CommentReference"/>
                <w:color w:val="auto"/>
              </w:rPr>
              <w:t>more than attainment of disadvantaged pupils will be in line with non-disadvantaged peers.</w:t>
            </w:r>
          </w:p>
          <w:p w14:paraId="3DE83D75" w14:textId="7B9360E0" w:rsidR="00B17E61" w:rsidRPr="00D11F72" w:rsidRDefault="00B17E61" w:rsidP="00AA70F5">
            <w:pPr>
              <w:pStyle w:val="TableRowCentered"/>
              <w:ind w:left="0"/>
              <w:jc w:val="left"/>
              <w:rPr>
                <w:rFonts w:cs="Arial"/>
                <w:color w:val="auto"/>
                <w:szCs w:val="24"/>
                <w:lang w:eastAsia="en-US"/>
              </w:rPr>
            </w:pPr>
          </w:p>
        </w:tc>
      </w:tr>
      <w:tr w:rsidR="008B3345" w14:paraId="117BD226" w14:textId="77777777" w:rsidTr="004735ED">
        <w:tc>
          <w:tcPr>
            <w:tcW w:w="2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6F045" w14:textId="3C8AEABF" w:rsidR="008B3345" w:rsidRPr="00D11F72" w:rsidRDefault="008B3345" w:rsidP="008B3345">
            <w:pPr>
              <w:pStyle w:val="TableRow"/>
              <w:spacing w:after="120"/>
              <w:ind w:left="28"/>
              <w:rPr>
                <w:rFonts w:cs="Arial"/>
                <w:color w:val="auto"/>
              </w:rPr>
            </w:pPr>
            <w:r w:rsidRPr="00D11F72">
              <w:rPr>
                <w:rFonts w:cs="Arial"/>
                <w:color w:val="auto"/>
              </w:rPr>
              <w:lastRenderedPageBreak/>
              <w:t xml:space="preserve">Improved writing attainment for disadvantaged pupils at the end of KS2. </w:t>
            </w:r>
          </w:p>
        </w:tc>
        <w:tc>
          <w:tcPr>
            <w:tcW w:w="6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C565A" w14:textId="53A838AC" w:rsidR="008B3345" w:rsidRPr="00D11F72" w:rsidRDefault="008B3345" w:rsidP="008B3345">
            <w:pPr>
              <w:pStyle w:val="TableRowCentered"/>
              <w:spacing w:after="120"/>
              <w:ind w:left="0"/>
              <w:jc w:val="left"/>
              <w:rPr>
                <w:rFonts w:cs="Arial"/>
                <w:color w:val="auto"/>
                <w:szCs w:val="24"/>
                <w:lang w:eastAsia="en-US"/>
              </w:rPr>
            </w:pPr>
            <w:r w:rsidRPr="00D11F72">
              <w:rPr>
                <w:rFonts w:cs="Arial"/>
                <w:color w:val="auto"/>
                <w:szCs w:val="24"/>
                <w:lang w:eastAsia="en-US"/>
              </w:rPr>
              <w:t xml:space="preserve">Writing outcomes by 2024/25 show that </w:t>
            </w:r>
            <w:r w:rsidRPr="00D11F72">
              <w:rPr>
                <w:rStyle w:val="CommentReference"/>
                <w:color w:val="auto"/>
              </w:rPr>
              <w:t>more than attainment of disadvantaged pupils will be in line with non-disadvantaged peers.</w:t>
            </w:r>
          </w:p>
          <w:p w14:paraId="360C5092" w14:textId="77777777" w:rsidR="008B3345" w:rsidRPr="00D11F72" w:rsidRDefault="008B3345" w:rsidP="00AF7077">
            <w:pPr>
              <w:pStyle w:val="TableRowCentered"/>
              <w:spacing w:after="120"/>
              <w:jc w:val="left"/>
              <w:rPr>
                <w:rFonts w:cs="Arial"/>
                <w:color w:val="auto"/>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0F3E8B" w:rsidR="00E66558" w:rsidRPr="00750C33" w:rsidRDefault="009D71E8" w:rsidP="00877501">
      <w:pPr>
        <w:rPr>
          <w:color w:val="0070C0"/>
        </w:rPr>
      </w:pPr>
      <w:r>
        <w:t xml:space="preserve">Budgeted cost: </w:t>
      </w:r>
      <w:r w:rsidRPr="00E27862">
        <w:rPr>
          <w:b/>
          <w:bCs/>
          <w:color w:val="auto"/>
        </w:rPr>
        <w:t>£</w:t>
      </w:r>
      <w:r w:rsidR="0081047D">
        <w:rPr>
          <w:b/>
          <w:bCs/>
          <w:color w:val="auto"/>
        </w:rPr>
        <w:t>5000</w:t>
      </w:r>
    </w:p>
    <w:tbl>
      <w:tblPr>
        <w:tblW w:w="5000" w:type="pct"/>
        <w:tblLayout w:type="fixed"/>
        <w:tblCellMar>
          <w:left w:w="10" w:type="dxa"/>
          <w:right w:w="10" w:type="dxa"/>
        </w:tblCellMar>
        <w:tblLook w:val="04A0" w:firstRow="1" w:lastRow="0" w:firstColumn="1" w:lastColumn="0" w:noHBand="0" w:noVBand="1"/>
      </w:tblPr>
      <w:tblGrid>
        <w:gridCol w:w="3478"/>
        <w:gridCol w:w="4644"/>
        <w:gridCol w:w="1590"/>
      </w:tblGrid>
      <w:tr w:rsidR="00E66558" w14:paraId="2A7D5519" w14:textId="77777777" w:rsidTr="008B3345">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8B3345">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48CD21DB" w:rsidR="00E62B8B" w:rsidRPr="00D11F72" w:rsidRDefault="003E3735" w:rsidP="00A6450E">
            <w:pPr>
              <w:pStyle w:val="TableRow"/>
              <w:spacing w:after="240"/>
              <w:ind w:left="29"/>
              <w:rPr>
                <w:rFonts w:cs="Arial"/>
                <w:color w:val="auto"/>
                <w:shd w:val="clear" w:color="auto" w:fill="FFFFFF"/>
              </w:rPr>
            </w:pPr>
            <w:r w:rsidRPr="00D11F72">
              <w:rPr>
                <w:iCs/>
                <w:color w:val="auto"/>
                <w:lang w:val="en-US"/>
              </w:rPr>
              <w:t>Purchase of s</w:t>
            </w:r>
            <w:r w:rsidR="000F4EB1" w:rsidRPr="00D11F72">
              <w:rPr>
                <w:iCs/>
                <w:color w:val="auto"/>
                <w:lang w:val="en-US"/>
              </w:rPr>
              <w:t>tandardised diagnostic assessments</w:t>
            </w:r>
            <w:r w:rsidR="000C3FC9" w:rsidRPr="00D11F72">
              <w:rPr>
                <w:iCs/>
                <w:color w:val="auto"/>
                <w:lang w:val="en-US"/>
              </w:rPr>
              <w:t>.</w:t>
            </w:r>
            <w:r w:rsidR="00804168" w:rsidRPr="00D11F72">
              <w:rPr>
                <w:iCs/>
                <w:color w:val="auto"/>
                <w:lang w:val="en-US"/>
              </w:rPr>
              <w:t xml:space="preserve"> </w:t>
            </w:r>
          </w:p>
          <w:p w14:paraId="7037895E" w14:textId="77777777" w:rsidR="004414EB" w:rsidRPr="00D11F72" w:rsidRDefault="00564DA6" w:rsidP="00A6450E">
            <w:pPr>
              <w:pStyle w:val="TableRow"/>
              <w:spacing w:after="240"/>
              <w:ind w:left="29"/>
              <w:rPr>
                <w:rFonts w:cs="Arial"/>
                <w:color w:val="auto"/>
                <w:shd w:val="clear" w:color="auto" w:fill="FFFFFF"/>
              </w:rPr>
            </w:pPr>
            <w:r w:rsidRPr="00D11F72">
              <w:rPr>
                <w:rFonts w:cs="Arial"/>
                <w:color w:val="auto"/>
                <w:shd w:val="clear" w:color="auto" w:fill="FFFFFF"/>
              </w:rPr>
              <w:t>T</w:t>
            </w:r>
            <w:r w:rsidR="00E5016D" w:rsidRPr="00D11F72">
              <w:rPr>
                <w:rFonts w:cs="Arial"/>
                <w:color w:val="auto"/>
                <w:shd w:val="clear" w:color="auto" w:fill="FFFFFF"/>
              </w:rPr>
              <w:t>raining</w:t>
            </w:r>
            <w:r w:rsidR="004414EB" w:rsidRPr="00D11F72">
              <w:rPr>
                <w:rFonts w:cs="Arial"/>
                <w:color w:val="auto"/>
                <w:shd w:val="clear" w:color="auto" w:fill="FFFFFF"/>
              </w:rPr>
              <w:t xml:space="preserve"> for staff to ensure assessment</w:t>
            </w:r>
            <w:r w:rsidR="009E02BF" w:rsidRPr="00D11F72">
              <w:rPr>
                <w:rFonts w:cs="Arial"/>
                <w:color w:val="auto"/>
                <w:shd w:val="clear" w:color="auto" w:fill="FFFFFF"/>
              </w:rPr>
              <w:t>s are interpreted</w:t>
            </w:r>
            <w:r w:rsidR="0027576C" w:rsidRPr="00D11F72">
              <w:rPr>
                <w:rFonts w:cs="Arial"/>
                <w:color w:val="auto"/>
                <w:shd w:val="clear" w:color="auto" w:fill="FFFFFF"/>
              </w:rPr>
              <w:t xml:space="preserve"> </w:t>
            </w:r>
            <w:r w:rsidR="00BB0044" w:rsidRPr="00D11F72">
              <w:rPr>
                <w:rFonts w:cs="Arial"/>
                <w:color w:val="auto"/>
                <w:shd w:val="clear" w:color="auto" w:fill="FFFFFF"/>
              </w:rPr>
              <w:t xml:space="preserve">and administered </w:t>
            </w:r>
            <w:r w:rsidR="0027576C" w:rsidRPr="00D11F72">
              <w:rPr>
                <w:rFonts w:cs="Arial"/>
                <w:color w:val="auto"/>
                <w:shd w:val="clear" w:color="auto" w:fill="FFFFFF"/>
              </w:rPr>
              <w:t>correctly</w:t>
            </w:r>
            <w:r w:rsidR="00001891" w:rsidRPr="00D11F72">
              <w:rPr>
                <w:rFonts w:cs="Arial"/>
                <w:color w:val="auto"/>
                <w:shd w:val="clear" w:color="auto" w:fill="FFFFFF"/>
              </w:rPr>
              <w:t>.</w:t>
            </w:r>
          </w:p>
          <w:p w14:paraId="1D9DC64C" w14:textId="77777777" w:rsidR="002A33B2" w:rsidRPr="00D11F72" w:rsidRDefault="002A33B2" w:rsidP="00A6450E">
            <w:pPr>
              <w:pStyle w:val="TableRow"/>
              <w:spacing w:after="240"/>
              <w:ind w:left="29"/>
              <w:rPr>
                <w:rFonts w:cs="Arial"/>
                <w:color w:val="auto"/>
                <w:shd w:val="clear" w:color="auto" w:fill="FFFFFF"/>
              </w:rPr>
            </w:pPr>
            <w:r w:rsidRPr="00D11F72">
              <w:rPr>
                <w:rFonts w:cs="Arial"/>
                <w:color w:val="auto"/>
                <w:shd w:val="clear" w:color="auto" w:fill="FFFFFF"/>
              </w:rPr>
              <w:t>Ensure effective assessment is used to inform next steps in teaching.</w:t>
            </w:r>
          </w:p>
          <w:p w14:paraId="2A7D551A" w14:textId="19BC8498" w:rsidR="002A33B2" w:rsidRPr="00D11F72" w:rsidRDefault="002A33B2" w:rsidP="00A6450E">
            <w:pPr>
              <w:pStyle w:val="TableRow"/>
              <w:spacing w:after="240"/>
              <w:ind w:left="29"/>
              <w:rPr>
                <w:rFonts w:cs="Arial"/>
                <w:color w:val="auto"/>
                <w:shd w:val="clear" w:color="auto" w:fill="FFFFFF"/>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D11F72" w:rsidRDefault="00D637A7" w:rsidP="00A92F8B">
            <w:pPr>
              <w:pStyle w:val="TableRowCentered"/>
              <w:jc w:val="left"/>
              <w:rPr>
                <w:color w:val="auto"/>
                <w:szCs w:val="24"/>
              </w:rPr>
            </w:pPr>
            <w:r w:rsidRPr="00D11F72">
              <w:rPr>
                <w:color w:val="auto"/>
                <w:szCs w:val="24"/>
              </w:rPr>
              <w:t>S</w:t>
            </w:r>
            <w:r w:rsidR="00A92F8B" w:rsidRPr="00D11F72">
              <w:rPr>
                <w:color w:val="auto"/>
                <w:szCs w:val="24"/>
              </w:rPr>
              <w:t xml:space="preserve">tandardised tests </w:t>
            </w:r>
            <w:r w:rsidR="00D472FE" w:rsidRPr="00D11F72">
              <w:rPr>
                <w:color w:val="auto"/>
                <w:szCs w:val="24"/>
              </w:rPr>
              <w:t xml:space="preserve">can </w:t>
            </w:r>
            <w:r w:rsidR="0090459D" w:rsidRPr="00D11F72">
              <w:rPr>
                <w:color w:val="auto"/>
                <w:szCs w:val="24"/>
              </w:rPr>
              <w:t xml:space="preserve">provide reliable insights </w:t>
            </w:r>
            <w:r w:rsidR="00324224" w:rsidRPr="00D11F72">
              <w:rPr>
                <w:color w:val="auto"/>
                <w:szCs w:val="24"/>
              </w:rPr>
              <w:t>into the specific streng</w:t>
            </w:r>
            <w:r w:rsidR="0058405F" w:rsidRPr="00D11F72">
              <w:rPr>
                <w:color w:val="auto"/>
                <w:szCs w:val="24"/>
              </w:rPr>
              <w:t>ths and weaknesses of each pupil</w:t>
            </w:r>
            <w:r w:rsidR="00867B4E" w:rsidRPr="00D11F72">
              <w:rPr>
                <w:color w:val="auto"/>
                <w:szCs w:val="24"/>
              </w:rPr>
              <w:t xml:space="preserve"> to help ensure they receive the correct additional support </w:t>
            </w:r>
            <w:r w:rsidR="00821A91" w:rsidRPr="00D11F72">
              <w:rPr>
                <w:color w:val="auto"/>
                <w:szCs w:val="24"/>
              </w:rPr>
              <w:t>through interventions or teacher instruction:</w:t>
            </w:r>
          </w:p>
          <w:p w14:paraId="2A7D551B" w14:textId="49EB6CD4" w:rsidR="00E66558" w:rsidRPr="00D11F72" w:rsidRDefault="00F93756" w:rsidP="00E5016D">
            <w:pPr>
              <w:pStyle w:val="TableRowCentered"/>
              <w:spacing w:after="120"/>
              <w:jc w:val="left"/>
              <w:rPr>
                <w:color w:val="auto"/>
                <w:szCs w:val="24"/>
              </w:rPr>
            </w:pPr>
            <w:hyperlink r:id="rId11" w:history="1">
              <w:r w:rsidR="007B3CB0" w:rsidRPr="00D11F72">
                <w:rPr>
                  <w:color w:val="0070C0"/>
                  <w:szCs w:val="24"/>
                  <w:u w:val="single"/>
                </w:rPr>
                <w:t>Standardised tests | Assessing and Monitoring Pupil Progress | Education Endowment Foundation | EEF</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D11F72" w:rsidRDefault="0060246D">
            <w:pPr>
              <w:pStyle w:val="TableRowCentered"/>
              <w:jc w:val="left"/>
              <w:rPr>
                <w:color w:val="auto"/>
                <w:szCs w:val="24"/>
              </w:rPr>
            </w:pPr>
            <w:r w:rsidRPr="00D11F72">
              <w:rPr>
                <w:color w:val="auto"/>
                <w:szCs w:val="24"/>
              </w:rPr>
              <w:t>1, 2, 3</w:t>
            </w:r>
            <w:r w:rsidR="002E63BB" w:rsidRPr="00D11F72">
              <w:rPr>
                <w:color w:val="auto"/>
                <w:szCs w:val="24"/>
              </w:rPr>
              <w:t>, 4</w:t>
            </w:r>
            <w:r w:rsidRPr="00D11F72">
              <w:rPr>
                <w:color w:val="auto"/>
                <w:szCs w:val="24"/>
              </w:rPr>
              <w:t xml:space="preserve"> </w:t>
            </w:r>
          </w:p>
        </w:tc>
      </w:tr>
      <w:tr w:rsidR="0015621F" w14:paraId="4C091B95" w14:textId="77777777" w:rsidTr="008B3345">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D11F72" w:rsidRDefault="009533EF" w:rsidP="00A6450E">
            <w:pPr>
              <w:suppressAutoHyphens w:val="0"/>
              <w:autoSpaceDN/>
              <w:spacing w:before="60" w:after="120" w:line="240" w:lineRule="auto"/>
              <w:ind w:left="29" w:right="57"/>
              <w:rPr>
                <w:rFonts w:cs="Arial"/>
                <w:iCs/>
                <w:color w:val="auto"/>
              </w:rPr>
            </w:pPr>
            <w:r w:rsidRPr="00D11F72">
              <w:rPr>
                <w:rFonts w:cs="Arial"/>
                <w:iCs/>
                <w:color w:val="auto"/>
              </w:rPr>
              <w:t>Purc</w:t>
            </w:r>
            <w:r w:rsidR="00280615" w:rsidRPr="00D11F72">
              <w:rPr>
                <w:rFonts w:cs="Arial"/>
                <w:iCs/>
                <w:color w:val="auto"/>
              </w:rPr>
              <w:t>hase</w:t>
            </w:r>
            <w:r w:rsidRPr="00D11F72">
              <w:rPr>
                <w:rFonts w:cs="Arial"/>
                <w:iCs/>
                <w:color w:val="auto"/>
              </w:rPr>
              <w:t xml:space="preserve"> of a </w:t>
            </w:r>
            <w:hyperlink r:id="rId12" w:history="1">
              <w:r w:rsidRPr="00D11F72">
                <w:rPr>
                  <w:rStyle w:val="Hyperlink"/>
                  <w:rFonts w:cs="Arial"/>
                  <w:iCs/>
                  <w:color w:val="0070C0"/>
                </w:rPr>
                <w:t>D</w:t>
              </w:r>
              <w:r w:rsidRPr="00D11F72">
                <w:rPr>
                  <w:rStyle w:val="Hyperlink"/>
                  <w:color w:val="0070C0"/>
                </w:rPr>
                <w:t xml:space="preserve">fE </w:t>
              </w:r>
              <w:r w:rsidRPr="00D11F72">
                <w:rPr>
                  <w:rStyle w:val="Hyperlink"/>
                  <w:rFonts w:cs="Arial"/>
                  <w:iCs/>
                  <w:color w:val="0070C0"/>
                </w:rPr>
                <w:t>validated Systematic Synthetic Phonics programme</w:t>
              </w:r>
            </w:hyperlink>
            <w:r w:rsidRPr="00D11F72">
              <w:rPr>
                <w:rFonts w:cs="Arial"/>
                <w:iCs/>
                <w:color w:val="auto"/>
              </w:rPr>
              <w:t xml:space="preserve"> to secure stron</w:t>
            </w:r>
            <w:r w:rsidRPr="00D11F72">
              <w:rPr>
                <w:rFonts w:cs="Arial"/>
                <w:iCs/>
                <w:color w:val="auto"/>
              </w:rPr>
              <w:t>g</w:t>
            </w:r>
            <w:r w:rsidRPr="00D11F72">
              <w:rPr>
                <w:rFonts w:cs="Arial"/>
                <w:iCs/>
                <w:color w:val="auto"/>
              </w:rPr>
              <w:t>er phonics teachin</w:t>
            </w:r>
            <w:r w:rsidR="00280615" w:rsidRPr="00D11F72">
              <w:rPr>
                <w:rFonts w:cs="Arial"/>
                <w:iCs/>
                <w:color w:val="auto"/>
              </w:rPr>
              <w:t>g</w:t>
            </w:r>
            <w:r w:rsidR="006E426D" w:rsidRPr="00D11F72">
              <w:rPr>
                <w:rFonts w:cs="Arial"/>
                <w:iCs/>
                <w:color w:val="auto"/>
              </w:rPr>
              <w:t xml:space="preserve"> for all pupils</w:t>
            </w:r>
            <w:r w:rsidR="00C34B56" w:rsidRPr="00D11F72">
              <w:rPr>
                <w:rFonts w:cs="Arial"/>
                <w:iCs/>
                <w:color w:val="auto"/>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D11F72" w:rsidRDefault="001A25A3" w:rsidP="00011010">
            <w:pPr>
              <w:pStyle w:val="TableRowCentered"/>
              <w:jc w:val="left"/>
              <w:rPr>
                <w:rFonts w:cs="Arial"/>
                <w:color w:val="auto"/>
                <w:szCs w:val="24"/>
              </w:rPr>
            </w:pPr>
            <w:r w:rsidRPr="00D11F72">
              <w:rPr>
                <w:rFonts w:cs="Arial"/>
                <w:color w:val="auto"/>
                <w:szCs w:val="24"/>
              </w:rPr>
              <w:t>Phonics approaches have a strong evidence base that indicate</w:t>
            </w:r>
            <w:r w:rsidR="00136D68" w:rsidRPr="00D11F72">
              <w:rPr>
                <w:rFonts w:cs="Arial"/>
                <w:color w:val="auto"/>
                <w:szCs w:val="24"/>
              </w:rPr>
              <w:t>s</w:t>
            </w:r>
            <w:r w:rsidRPr="00D11F72">
              <w:rPr>
                <w:rFonts w:cs="Arial"/>
                <w:color w:val="auto"/>
                <w:szCs w:val="24"/>
              </w:rPr>
              <w:t xml:space="preserve"> </w:t>
            </w:r>
            <w:r w:rsidR="00533F08" w:rsidRPr="00D11F72">
              <w:rPr>
                <w:rFonts w:cs="Arial"/>
                <w:color w:val="auto"/>
                <w:szCs w:val="24"/>
              </w:rPr>
              <w:t xml:space="preserve">a </w:t>
            </w:r>
            <w:r w:rsidRPr="00D11F72">
              <w:rPr>
                <w:rFonts w:cs="Arial"/>
                <w:color w:val="auto"/>
                <w:szCs w:val="24"/>
              </w:rPr>
              <w:t xml:space="preserve">positive impact on </w:t>
            </w:r>
            <w:r w:rsidR="00B260CE" w:rsidRPr="00D11F72">
              <w:rPr>
                <w:rFonts w:cs="Arial"/>
                <w:color w:val="auto"/>
                <w:szCs w:val="24"/>
              </w:rPr>
              <w:t>the accuracy of word reading</w:t>
            </w:r>
            <w:r w:rsidR="000301F1" w:rsidRPr="00D11F72">
              <w:rPr>
                <w:rFonts w:cs="Arial"/>
                <w:color w:val="auto"/>
                <w:szCs w:val="24"/>
              </w:rPr>
              <w:t xml:space="preserve"> (though not necessarily comprehension)</w:t>
            </w:r>
            <w:r w:rsidRPr="00D11F72">
              <w:rPr>
                <w:rFonts w:cs="Arial"/>
                <w:color w:val="auto"/>
                <w:szCs w:val="24"/>
              </w:rPr>
              <w:t xml:space="preserve">, particularly </w:t>
            </w:r>
            <w:r w:rsidR="00BF70E5" w:rsidRPr="00D11F72">
              <w:rPr>
                <w:rFonts w:cs="Arial"/>
                <w:color w:val="auto"/>
                <w:szCs w:val="24"/>
              </w:rPr>
              <w:t xml:space="preserve">for </w:t>
            </w:r>
            <w:r w:rsidR="00011010" w:rsidRPr="00D11F72">
              <w:rPr>
                <w:rFonts w:cs="Arial"/>
                <w:color w:val="auto"/>
                <w:szCs w:val="24"/>
              </w:rPr>
              <w:t xml:space="preserve">disadvantaged </w:t>
            </w:r>
            <w:r w:rsidR="00A9535D" w:rsidRPr="00D11F72">
              <w:rPr>
                <w:rFonts w:cs="Arial"/>
                <w:color w:val="auto"/>
                <w:szCs w:val="24"/>
              </w:rPr>
              <w:t>pupils</w:t>
            </w:r>
            <w:r w:rsidR="006D12C0" w:rsidRPr="00D11F72">
              <w:rPr>
                <w:rFonts w:cs="Arial"/>
                <w:color w:val="auto"/>
                <w:szCs w:val="24"/>
              </w:rPr>
              <w:t>:</w:t>
            </w:r>
            <w:r w:rsidRPr="00D11F72">
              <w:rPr>
                <w:rFonts w:cs="Arial"/>
                <w:color w:val="auto"/>
                <w:szCs w:val="24"/>
              </w:rPr>
              <w:t xml:space="preserve"> </w:t>
            </w:r>
          </w:p>
          <w:p w14:paraId="59E476D0" w14:textId="60A39337" w:rsidR="001F198D" w:rsidRPr="00D11F72" w:rsidRDefault="00F93756" w:rsidP="003F1E06">
            <w:pPr>
              <w:pStyle w:val="TableRowCentered"/>
              <w:spacing w:after="120"/>
              <w:jc w:val="left"/>
              <w:rPr>
                <w:rFonts w:cs="Arial"/>
                <w:color w:val="auto"/>
                <w:szCs w:val="24"/>
              </w:rPr>
            </w:pPr>
            <w:hyperlink r:id="rId13" w:history="1">
              <w:r w:rsidR="006D12C0" w:rsidRPr="00D11F72">
                <w:rPr>
                  <w:color w:val="0070C0"/>
                  <w:szCs w:val="24"/>
                  <w:u w:val="single"/>
                </w:rPr>
                <w:t>Phonics | Toolkit Strand | Education Endowment Foundation | EEF</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4714816C" w:rsidR="0015621F" w:rsidRPr="00D11F72" w:rsidRDefault="00080CB4" w:rsidP="00080CB4">
            <w:pPr>
              <w:pStyle w:val="TableRowCentered"/>
              <w:jc w:val="left"/>
              <w:rPr>
                <w:color w:val="auto"/>
                <w:szCs w:val="24"/>
              </w:rPr>
            </w:pPr>
            <w:r w:rsidRPr="00D11F72">
              <w:rPr>
                <w:color w:val="auto"/>
                <w:szCs w:val="24"/>
              </w:rPr>
              <w:t>2, 3</w:t>
            </w:r>
          </w:p>
        </w:tc>
      </w:tr>
      <w:tr w:rsidR="00D35EBE" w14:paraId="047042A4" w14:textId="77777777" w:rsidTr="008B3345">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D11F72" w:rsidRDefault="00B0341C" w:rsidP="005B4A5A">
            <w:pPr>
              <w:spacing w:before="60" w:after="120" w:line="240" w:lineRule="auto"/>
              <w:ind w:left="28" w:right="57"/>
              <w:rPr>
                <w:rFonts w:cs="Arial"/>
                <w:color w:val="auto"/>
              </w:rPr>
            </w:pPr>
            <w:r w:rsidRPr="00D11F72">
              <w:rPr>
                <w:color w:val="auto"/>
              </w:rPr>
              <w:t xml:space="preserve">Enhancement </w:t>
            </w:r>
            <w:r w:rsidR="005B4A5A" w:rsidRPr="00D11F72">
              <w:rPr>
                <w:color w:val="auto"/>
              </w:rPr>
              <w:t>of our maths teaching and curriculum planning in line with DfE and EEF guidance.</w:t>
            </w:r>
          </w:p>
          <w:p w14:paraId="6E8F3FDD" w14:textId="281A8040" w:rsidR="00777F13" w:rsidRPr="00D11F72" w:rsidRDefault="009B4127" w:rsidP="005B4A5A">
            <w:pPr>
              <w:suppressAutoHyphens w:val="0"/>
              <w:autoSpaceDN/>
              <w:spacing w:before="60" w:after="120" w:line="240" w:lineRule="auto"/>
              <w:ind w:left="28" w:right="57"/>
              <w:rPr>
                <w:rFonts w:cs="Arial"/>
                <w:iCs/>
                <w:color w:val="auto"/>
              </w:rPr>
            </w:pPr>
            <w:r w:rsidRPr="00D11F72">
              <w:rPr>
                <w:color w:val="auto"/>
              </w:rPr>
              <w:t>We will f</w:t>
            </w:r>
            <w:r w:rsidR="00A966DC" w:rsidRPr="00D11F72">
              <w:rPr>
                <w:color w:val="auto"/>
              </w:rPr>
              <w:t>und</w:t>
            </w:r>
            <w:r w:rsidR="005B4A5A" w:rsidRPr="00D11F72">
              <w:rPr>
                <w:color w:val="auto"/>
              </w:rPr>
              <w:t xml:space="preserve"> teacher release time to embed key </w:t>
            </w:r>
            <w:r w:rsidR="003B2CA2" w:rsidRPr="00D11F72">
              <w:rPr>
                <w:color w:val="auto"/>
              </w:rPr>
              <w:t>element</w:t>
            </w:r>
            <w:r w:rsidR="00323020" w:rsidRPr="00D11F72">
              <w:rPr>
                <w:color w:val="auto"/>
              </w:rPr>
              <w:t>s</w:t>
            </w:r>
            <w:r w:rsidR="005B4A5A" w:rsidRPr="00D11F72">
              <w:rPr>
                <w:color w:val="auto"/>
              </w:rPr>
              <w:t xml:space="preserve"> of guidance in school and</w:t>
            </w:r>
            <w:r w:rsidR="00323020" w:rsidRPr="00D11F72">
              <w:rPr>
                <w:color w:val="auto"/>
              </w:rPr>
              <w:t xml:space="preserve"> to</w:t>
            </w:r>
            <w:r w:rsidR="005B4A5A" w:rsidRPr="00D11F72">
              <w:rPr>
                <w:color w:val="auto"/>
              </w:rPr>
              <w:t xml:space="preserve"> access Maths Hub resources and CPD (including Teaching for Mastery training).</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D11F72" w:rsidRDefault="003B514F" w:rsidP="003F21FD">
            <w:pPr>
              <w:suppressAutoHyphens w:val="0"/>
              <w:autoSpaceDN/>
              <w:spacing w:before="60" w:after="60" w:line="240" w:lineRule="auto"/>
              <w:ind w:left="57" w:right="57"/>
              <w:rPr>
                <w:rFonts w:cs="Arial"/>
                <w:iCs/>
                <w:color w:val="auto"/>
              </w:rPr>
            </w:pPr>
            <w:r w:rsidRPr="00D11F72">
              <w:rPr>
                <w:rFonts w:cs="Arial"/>
                <w:iCs/>
                <w:color w:val="auto"/>
              </w:rPr>
              <w:t xml:space="preserve">The </w:t>
            </w:r>
            <w:r w:rsidR="004D025C" w:rsidRPr="00D11F72">
              <w:rPr>
                <w:rFonts w:cs="Arial"/>
                <w:iCs/>
                <w:color w:val="auto"/>
              </w:rPr>
              <w:t xml:space="preserve">DfE </w:t>
            </w:r>
            <w:r w:rsidR="0023765D" w:rsidRPr="00D11F72">
              <w:rPr>
                <w:rFonts w:cs="Arial"/>
                <w:iCs/>
                <w:color w:val="auto"/>
              </w:rPr>
              <w:t>non-statutory</w:t>
            </w:r>
            <w:r w:rsidR="004D025C" w:rsidRPr="00D11F72">
              <w:rPr>
                <w:rFonts w:cs="Arial"/>
                <w:iCs/>
                <w:color w:val="auto"/>
              </w:rPr>
              <w:t xml:space="preserve"> guidance has been produced in conjunction with </w:t>
            </w:r>
            <w:r w:rsidR="0081586E" w:rsidRPr="00D11F72">
              <w:rPr>
                <w:rFonts w:cs="Arial"/>
                <w:iCs/>
                <w:color w:val="auto"/>
              </w:rPr>
              <w:t xml:space="preserve">the National Centre for </w:t>
            </w:r>
            <w:r w:rsidR="00A9674D" w:rsidRPr="00D11F72">
              <w:rPr>
                <w:rFonts w:cs="Arial"/>
                <w:iCs/>
                <w:color w:val="auto"/>
              </w:rPr>
              <w:t xml:space="preserve">Excellence in the </w:t>
            </w:r>
            <w:r w:rsidR="006B5875" w:rsidRPr="00D11F72">
              <w:rPr>
                <w:rFonts w:cs="Arial"/>
                <w:iCs/>
                <w:color w:val="auto"/>
              </w:rPr>
              <w:t>Teaching of Mathematics</w:t>
            </w:r>
            <w:r w:rsidR="002C5C55" w:rsidRPr="00D11F72">
              <w:rPr>
                <w:rFonts w:cs="Arial"/>
                <w:iCs/>
                <w:color w:val="auto"/>
              </w:rPr>
              <w:t>,</w:t>
            </w:r>
            <w:r w:rsidR="00172E82" w:rsidRPr="00D11F72">
              <w:rPr>
                <w:rFonts w:cs="Arial"/>
                <w:iCs/>
                <w:color w:val="auto"/>
              </w:rPr>
              <w:t xml:space="preserve"> </w:t>
            </w:r>
            <w:r w:rsidR="002267E9" w:rsidRPr="00D11F72">
              <w:rPr>
                <w:rFonts w:cs="Arial"/>
                <w:iCs/>
                <w:color w:val="auto"/>
              </w:rPr>
              <w:t>drawing</w:t>
            </w:r>
            <w:r w:rsidR="00172E82" w:rsidRPr="00D11F72">
              <w:rPr>
                <w:rFonts w:cs="Arial"/>
                <w:iCs/>
                <w:color w:val="auto"/>
              </w:rPr>
              <w:t xml:space="preserve"> on </w:t>
            </w:r>
            <w:r w:rsidR="002267E9" w:rsidRPr="00D11F72">
              <w:rPr>
                <w:rFonts w:cs="Arial"/>
                <w:iCs/>
                <w:color w:val="auto"/>
              </w:rPr>
              <w:t>evidence-</w:t>
            </w:r>
            <w:r w:rsidR="00172E82" w:rsidRPr="00D11F72">
              <w:rPr>
                <w:rFonts w:cs="Arial"/>
                <w:iCs/>
                <w:color w:val="auto"/>
              </w:rPr>
              <w:t xml:space="preserve">based </w:t>
            </w:r>
            <w:r w:rsidR="002267E9" w:rsidRPr="00D11F72">
              <w:rPr>
                <w:rFonts w:cs="Arial"/>
                <w:iCs/>
                <w:color w:val="auto"/>
              </w:rPr>
              <w:t>approaches</w:t>
            </w:r>
            <w:r w:rsidR="006B5875" w:rsidRPr="00D11F72">
              <w:rPr>
                <w:rFonts w:cs="Arial"/>
                <w:iCs/>
                <w:color w:val="auto"/>
              </w:rPr>
              <w:t>:</w:t>
            </w:r>
            <w:r w:rsidR="008153E9" w:rsidRPr="00D11F72">
              <w:rPr>
                <w:rFonts w:cs="Arial"/>
                <w:iCs/>
                <w:color w:val="auto"/>
              </w:rPr>
              <w:t xml:space="preserve"> </w:t>
            </w:r>
          </w:p>
          <w:p w14:paraId="38F5887A" w14:textId="29E6A8D5" w:rsidR="00FC0184" w:rsidRPr="00D11F72" w:rsidRDefault="00F93756" w:rsidP="001662B7">
            <w:pPr>
              <w:suppressAutoHyphens w:val="0"/>
              <w:autoSpaceDN/>
              <w:spacing w:before="60" w:after="120" w:line="240" w:lineRule="auto"/>
              <w:ind w:left="57" w:right="57"/>
              <w:rPr>
                <w:rFonts w:cs="Arial"/>
                <w:iCs/>
                <w:color w:val="0070C0"/>
              </w:rPr>
            </w:pPr>
            <w:hyperlink r:id="rId14" w:history="1">
              <w:r w:rsidR="003E3A10" w:rsidRPr="00D11F72">
                <w:rPr>
                  <w:color w:val="0070C0"/>
                  <w:u w:val="single"/>
                </w:rPr>
                <w:t>Maths_guidance_KS_1_and_2.pdf (pu</w:t>
              </w:r>
              <w:r w:rsidR="003E3A10" w:rsidRPr="00D11F72">
                <w:rPr>
                  <w:color w:val="0070C0"/>
                  <w:u w:val="single"/>
                </w:rPr>
                <w:t>b</w:t>
              </w:r>
              <w:r w:rsidR="003E3A10" w:rsidRPr="00D11F72">
                <w:rPr>
                  <w:color w:val="0070C0"/>
                  <w:u w:val="single"/>
                </w:rPr>
                <w:t>lishing.service.gov.uk)</w:t>
              </w:r>
            </w:hyperlink>
          </w:p>
          <w:p w14:paraId="3E93BD35" w14:textId="77777777" w:rsidR="00FB5EA9" w:rsidRPr="00D11F72" w:rsidRDefault="006B5875" w:rsidP="00FB5EA9">
            <w:pPr>
              <w:suppressAutoHyphens w:val="0"/>
              <w:autoSpaceDN/>
              <w:spacing w:before="120" w:after="60" w:line="240" w:lineRule="auto"/>
              <w:ind w:left="57" w:right="57"/>
              <w:rPr>
                <w:rFonts w:cs="Arial"/>
                <w:color w:val="auto"/>
              </w:rPr>
            </w:pPr>
            <w:r w:rsidRPr="00D11F72">
              <w:rPr>
                <w:rFonts w:cs="Arial"/>
                <w:color w:val="auto"/>
              </w:rPr>
              <w:t xml:space="preserve">The EEF guidance is based on a range of the best available evidence: </w:t>
            </w:r>
          </w:p>
          <w:p w14:paraId="0892004B" w14:textId="3C345453" w:rsidR="006B5875" w:rsidRPr="00D11F72" w:rsidRDefault="00F93756" w:rsidP="00FB5EA9">
            <w:pPr>
              <w:suppressAutoHyphens w:val="0"/>
              <w:autoSpaceDN/>
              <w:spacing w:before="60" w:after="120" w:line="240" w:lineRule="auto"/>
              <w:ind w:left="57" w:right="57"/>
              <w:rPr>
                <w:rFonts w:cs="Arial"/>
                <w:color w:val="auto"/>
                <w:u w:val="single"/>
              </w:rPr>
            </w:pPr>
            <w:hyperlink r:id="rId15" w:history="1">
              <w:r w:rsidR="006B5875" w:rsidRPr="00D11F72">
                <w:rPr>
                  <w:rStyle w:val="Hyperlink"/>
                  <w:rFonts w:cs="Arial"/>
                  <w:color w:val="0070C0"/>
                </w:rPr>
                <w:t>Improving Mathematics in Key Stages 2 and 3</w:t>
              </w:r>
            </w:hyperlink>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BECAA7C" w:rsidR="00D35EBE" w:rsidRPr="00D11F72" w:rsidRDefault="00080CB4" w:rsidP="0015621F">
            <w:pPr>
              <w:pStyle w:val="TableRowCentered"/>
              <w:jc w:val="left"/>
              <w:rPr>
                <w:color w:val="auto"/>
                <w:szCs w:val="24"/>
              </w:rPr>
            </w:pPr>
            <w:r w:rsidRPr="00D11F72">
              <w:rPr>
                <w:color w:val="auto"/>
                <w:szCs w:val="24"/>
              </w:rPr>
              <w:t>1, 3</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EFD1498" w:rsidR="00E66558" w:rsidRDefault="009D71E8" w:rsidP="00877501">
      <w:r>
        <w:lastRenderedPageBreak/>
        <w:t xml:space="preserve">Budgeted cost: </w:t>
      </w:r>
      <w:r w:rsidRPr="00E27862">
        <w:rPr>
          <w:b/>
          <w:bCs/>
          <w:color w:val="auto"/>
        </w:rPr>
        <w:t>£</w:t>
      </w:r>
      <w:r w:rsidR="004F6186">
        <w:rPr>
          <w:b/>
          <w:bCs/>
          <w:color w:val="auto"/>
        </w:rPr>
        <w:t>9495</w:t>
      </w:r>
    </w:p>
    <w:tbl>
      <w:tblPr>
        <w:tblW w:w="5000" w:type="pct"/>
        <w:tblLayout w:type="fixed"/>
        <w:tblCellMar>
          <w:left w:w="10" w:type="dxa"/>
          <w:right w:w="10" w:type="dxa"/>
        </w:tblCellMar>
        <w:tblLook w:val="04A0" w:firstRow="1" w:lastRow="0" w:firstColumn="1" w:lastColumn="0" w:noHBand="0" w:noVBand="1"/>
      </w:tblPr>
      <w:tblGrid>
        <w:gridCol w:w="3043"/>
        <w:gridCol w:w="5090"/>
        <w:gridCol w:w="1579"/>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7F34137" w:rsidR="004A44D9" w:rsidRPr="00D11F72" w:rsidRDefault="00D11F72" w:rsidP="00D11F72">
            <w:pPr>
              <w:pStyle w:val="TableRow"/>
              <w:spacing w:after="120"/>
              <w:rPr>
                <w:rFonts w:cs="Arial"/>
                <w:iCs/>
                <w:color w:val="auto"/>
                <w:lang w:val="en-US"/>
              </w:rPr>
            </w:pPr>
            <w:r w:rsidRPr="00D11F72">
              <w:rPr>
                <w:rFonts w:cs="Arial"/>
                <w:iCs/>
                <w:color w:val="auto"/>
                <w:lang w:val="en-US"/>
              </w:rPr>
              <w:t>Use IT to support teaching and learning.  Through improving pupils’ access to devices, use of apps and websites which support learning and specialist teaching, key skills will be embedded in core subjects.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E351" w14:textId="77777777" w:rsidR="009D2E96" w:rsidRPr="00D11F72" w:rsidRDefault="00D11F72" w:rsidP="00D11F72">
            <w:pPr>
              <w:pStyle w:val="TableRowCentered"/>
              <w:jc w:val="left"/>
              <w:rPr>
                <w:rFonts w:cs="Arial"/>
                <w:color w:val="auto"/>
                <w:szCs w:val="24"/>
              </w:rPr>
            </w:pPr>
            <w:r w:rsidRPr="00D11F72">
              <w:rPr>
                <w:rFonts w:cs="Arial"/>
                <w:color w:val="auto"/>
                <w:szCs w:val="24"/>
              </w:rPr>
              <w:t>EEF summary shows that use of IT can increase progress rates in both English and Maths, particularly maths.</w:t>
            </w:r>
          </w:p>
          <w:p w14:paraId="0FCD6A2A" w14:textId="3D98A890" w:rsidR="00D11F72" w:rsidRPr="00D11F72" w:rsidRDefault="00F93756" w:rsidP="00D11F72">
            <w:pPr>
              <w:pStyle w:val="TableRowCentered"/>
              <w:jc w:val="left"/>
              <w:rPr>
                <w:color w:val="auto"/>
                <w:szCs w:val="24"/>
              </w:rPr>
            </w:pPr>
            <w:hyperlink r:id="rId16" w:history="1">
              <w:r w:rsidR="00D11F72" w:rsidRPr="00D11F72">
                <w:rPr>
                  <w:rStyle w:val="Hyperlink"/>
                  <w:szCs w:val="24"/>
                </w:rPr>
                <w:t>https://educationendowmentfoundation.org.uk/education-evidence/evidence-reviews/digital-technology-2019</w:t>
              </w:r>
            </w:hyperlink>
          </w:p>
          <w:p w14:paraId="2A7D552A" w14:textId="54991527" w:rsidR="00D11F72" w:rsidRPr="00D11F72" w:rsidRDefault="00D11F72" w:rsidP="00D11F72">
            <w:pPr>
              <w:pStyle w:val="TableRowCentered"/>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0A91554" w:rsidR="001E76B0" w:rsidRPr="00D11F72" w:rsidRDefault="001E76B0" w:rsidP="001E76B0">
            <w:pPr>
              <w:pStyle w:val="TableRowCentered"/>
              <w:jc w:val="left"/>
              <w:rPr>
                <w:color w:val="auto"/>
                <w:szCs w:val="22"/>
              </w:rPr>
            </w:pPr>
            <w:r w:rsidRPr="00D11F72">
              <w:rPr>
                <w:color w:val="auto"/>
                <w:szCs w:val="22"/>
              </w:rPr>
              <w:t>1</w:t>
            </w:r>
            <w:r w:rsidR="00D11F72" w:rsidRPr="00D11F72">
              <w:rPr>
                <w:color w:val="auto"/>
                <w:szCs w:val="22"/>
              </w:rPr>
              <w:t>, 2, 3, 4</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1ADD9D67" w:rsidR="00B8060C" w:rsidRPr="00D11F72" w:rsidRDefault="008A32B1" w:rsidP="004735ED">
            <w:pPr>
              <w:pStyle w:val="TableRow"/>
              <w:rPr>
                <w:rFonts w:cs="Arial"/>
                <w:iCs/>
                <w:color w:val="auto"/>
                <w:lang w:val="en-US"/>
              </w:rPr>
            </w:pPr>
            <w:r w:rsidRPr="00D11F72">
              <w:rPr>
                <w:rFonts w:cs="Arial"/>
                <w:iCs/>
                <w:color w:val="auto"/>
                <w:lang w:val="en-US"/>
              </w:rPr>
              <w:t xml:space="preserve">Additional phonics sessions </w:t>
            </w:r>
            <w:r w:rsidR="00371722" w:rsidRPr="00D11F72">
              <w:rPr>
                <w:rFonts w:cs="Arial"/>
                <w:iCs/>
                <w:color w:val="auto"/>
                <w:lang w:val="en-US"/>
              </w:rPr>
              <w:t xml:space="preserve">targeted </w:t>
            </w:r>
            <w:r w:rsidR="00C02423" w:rsidRPr="00D11F72">
              <w:rPr>
                <w:rFonts w:cs="Arial"/>
                <w:iCs/>
                <w:color w:val="auto"/>
                <w:lang w:val="en-US"/>
              </w:rPr>
              <w:t xml:space="preserve">at </w:t>
            </w:r>
            <w:r w:rsidR="000C3954" w:rsidRPr="00D11F72">
              <w:rPr>
                <w:rFonts w:cs="Arial"/>
                <w:iCs/>
                <w:color w:val="auto"/>
                <w:lang w:val="en-US"/>
              </w:rPr>
              <w:t xml:space="preserve">disadvantaged </w:t>
            </w:r>
            <w:r w:rsidR="00C02423" w:rsidRPr="00D11F72">
              <w:rPr>
                <w:rFonts w:cs="Arial"/>
                <w:iCs/>
                <w:color w:val="auto"/>
                <w:lang w:val="en-US"/>
              </w:rPr>
              <w:t>pupils</w:t>
            </w:r>
            <w:r w:rsidR="000D277F" w:rsidRPr="00D11F72">
              <w:rPr>
                <w:rFonts w:cs="Arial"/>
                <w:iCs/>
                <w:color w:val="auto"/>
                <w:lang w:val="en-US"/>
              </w:rPr>
              <w:t xml:space="preserve"> who require </w:t>
            </w:r>
            <w:r w:rsidR="00533266" w:rsidRPr="00D11F72">
              <w:rPr>
                <w:rFonts w:cs="Arial"/>
                <w:iCs/>
                <w:color w:val="auto"/>
                <w:lang w:val="en-US"/>
              </w:rPr>
              <w:t>further</w:t>
            </w:r>
            <w:r w:rsidR="000D277F" w:rsidRPr="00D11F72">
              <w:rPr>
                <w:rFonts w:cs="Arial"/>
                <w:iCs/>
                <w:color w:val="auto"/>
                <w:lang w:val="en-US"/>
              </w:rPr>
              <w:t xml:space="preserve"> </w:t>
            </w:r>
            <w:r w:rsidR="003E1815" w:rsidRPr="00D11F72">
              <w:rPr>
                <w:rFonts w:cs="Arial"/>
                <w:iCs/>
                <w:color w:val="auto"/>
                <w:lang w:val="en-US"/>
              </w:rPr>
              <w:t xml:space="preserve">phonics </w:t>
            </w:r>
            <w:r w:rsidR="000D277F" w:rsidRPr="00D11F72">
              <w:rPr>
                <w:rFonts w:cs="Arial"/>
                <w:iCs/>
                <w:color w:val="auto"/>
                <w:lang w:val="en-US"/>
              </w:rPr>
              <w:t>support.</w:t>
            </w:r>
            <w:r w:rsidRPr="00D11F7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D11F72" w:rsidRDefault="00A31660" w:rsidP="00B266BB">
            <w:pPr>
              <w:pStyle w:val="TableRowCentered"/>
              <w:jc w:val="left"/>
              <w:rPr>
                <w:rFonts w:cs="Arial"/>
                <w:color w:val="auto"/>
                <w:szCs w:val="24"/>
              </w:rPr>
            </w:pPr>
            <w:r w:rsidRPr="00D11F72">
              <w:rPr>
                <w:rFonts w:cs="Arial"/>
                <w:color w:val="auto"/>
                <w:szCs w:val="24"/>
              </w:rPr>
              <w:t xml:space="preserve">Phonics approaches </w:t>
            </w:r>
            <w:r w:rsidR="00D33EA0" w:rsidRPr="00D11F72">
              <w:rPr>
                <w:rFonts w:cs="Arial"/>
                <w:color w:val="auto"/>
                <w:szCs w:val="24"/>
              </w:rPr>
              <w:t xml:space="preserve">have a strong evidence base </w:t>
            </w:r>
            <w:r w:rsidR="00762441" w:rsidRPr="00D11F72">
              <w:rPr>
                <w:rFonts w:cs="Arial"/>
                <w:color w:val="auto"/>
                <w:szCs w:val="24"/>
              </w:rPr>
              <w:t>indicating</w:t>
            </w:r>
            <w:r w:rsidR="00D33EA0" w:rsidRPr="00D11F72">
              <w:rPr>
                <w:rFonts w:cs="Arial"/>
                <w:color w:val="auto"/>
                <w:szCs w:val="24"/>
              </w:rPr>
              <w:t xml:space="preserve"> a positive impact on pupils</w:t>
            </w:r>
            <w:r w:rsidR="00ED20CC" w:rsidRPr="00D11F72">
              <w:rPr>
                <w:rFonts w:cs="Arial"/>
                <w:color w:val="auto"/>
                <w:szCs w:val="24"/>
              </w:rPr>
              <w:t>, particularly</w:t>
            </w:r>
            <w:r w:rsidR="005C5549" w:rsidRPr="00D11F72">
              <w:rPr>
                <w:rFonts w:cs="Arial"/>
                <w:color w:val="auto"/>
                <w:szCs w:val="24"/>
              </w:rPr>
              <w:t xml:space="preserve"> from</w:t>
            </w:r>
            <w:r w:rsidR="00ED20CC" w:rsidRPr="00D11F72">
              <w:rPr>
                <w:rFonts w:cs="Arial"/>
                <w:color w:val="auto"/>
                <w:szCs w:val="24"/>
              </w:rPr>
              <w:t xml:space="preserve"> disadvantaged </w:t>
            </w:r>
            <w:r w:rsidR="005C5549" w:rsidRPr="00D11F72">
              <w:rPr>
                <w:rFonts w:cs="Arial"/>
                <w:color w:val="auto"/>
                <w:szCs w:val="24"/>
              </w:rPr>
              <w:t>backgrounds</w:t>
            </w:r>
            <w:r w:rsidR="00ED20CC" w:rsidRPr="00D11F72">
              <w:rPr>
                <w:rFonts w:cs="Arial"/>
                <w:color w:val="auto"/>
                <w:szCs w:val="24"/>
              </w:rPr>
              <w:t>.</w:t>
            </w:r>
            <w:r w:rsidR="00B266BB" w:rsidRPr="00D11F72">
              <w:rPr>
                <w:rFonts w:cs="Arial"/>
                <w:color w:val="auto"/>
                <w:szCs w:val="24"/>
              </w:rPr>
              <w:t xml:space="preserve"> T</w:t>
            </w:r>
            <w:r w:rsidR="00C571A9" w:rsidRPr="00D11F72">
              <w:rPr>
                <w:rFonts w:cs="Arial"/>
                <w:color w:val="auto"/>
                <w:szCs w:val="24"/>
              </w:rPr>
              <w:t xml:space="preserve">argeted </w:t>
            </w:r>
            <w:r w:rsidR="00B266BB" w:rsidRPr="00D11F72">
              <w:rPr>
                <w:rFonts w:cs="Arial"/>
                <w:color w:val="auto"/>
                <w:szCs w:val="24"/>
              </w:rPr>
              <w:t xml:space="preserve">phonics interventions </w:t>
            </w:r>
            <w:r w:rsidR="00C571A9" w:rsidRPr="00D11F72">
              <w:rPr>
                <w:rFonts w:cs="Arial"/>
                <w:color w:val="auto"/>
                <w:szCs w:val="24"/>
              </w:rPr>
              <w:t xml:space="preserve">have been </w:t>
            </w:r>
            <w:r w:rsidR="007839E5" w:rsidRPr="00D11F72">
              <w:rPr>
                <w:rFonts w:cs="Arial"/>
                <w:color w:val="auto"/>
                <w:szCs w:val="24"/>
              </w:rPr>
              <w:t>shown to be more effective when delivered as regular sessions</w:t>
            </w:r>
            <w:r w:rsidR="00DA5D6B" w:rsidRPr="00D11F72">
              <w:rPr>
                <w:rFonts w:cs="Arial"/>
                <w:color w:val="auto"/>
                <w:szCs w:val="24"/>
              </w:rPr>
              <w:t xml:space="preserve"> over a period up to 12 weeks</w:t>
            </w:r>
            <w:r w:rsidR="00EC363E" w:rsidRPr="00D11F72">
              <w:rPr>
                <w:rFonts w:cs="Arial"/>
                <w:color w:val="auto"/>
                <w:szCs w:val="24"/>
              </w:rPr>
              <w:t>:</w:t>
            </w:r>
          </w:p>
          <w:p w14:paraId="5FCA18E8" w14:textId="1EE82AF2" w:rsidR="0026462D" w:rsidRPr="00D11F72" w:rsidRDefault="00F93756" w:rsidP="00AE721B">
            <w:pPr>
              <w:pStyle w:val="TableRowCentered"/>
              <w:spacing w:after="120"/>
              <w:jc w:val="left"/>
              <w:rPr>
                <w:color w:val="auto"/>
              </w:rPr>
            </w:pPr>
            <w:hyperlink r:id="rId17" w:history="1">
              <w:r w:rsidR="00E47AFE" w:rsidRPr="00D11F72">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78B5DF8D" w:rsidR="00B8060C" w:rsidRPr="00D11F72" w:rsidRDefault="005153E1" w:rsidP="00B8060C">
            <w:pPr>
              <w:pStyle w:val="TableRowCentered"/>
              <w:jc w:val="left"/>
              <w:rPr>
                <w:color w:val="auto"/>
                <w:szCs w:val="22"/>
              </w:rPr>
            </w:pPr>
            <w:r w:rsidRPr="00D11F72">
              <w:rPr>
                <w:color w:val="auto"/>
                <w:szCs w:val="22"/>
              </w:rPr>
              <w:t>2</w:t>
            </w:r>
            <w:r w:rsidR="00080CB4" w:rsidRPr="00D11F72">
              <w:rPr>
                <w:color w:val="auto"/>
                <w:szCs w:val="22"/>
              </w:rPr>
              <w:t>, 3</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52227610" w:rsidR="005153E1" w:rsidRPr="00D11F72" w:rsidRDefault="00CB012A" w:rsidP="00C076F0">
            <w:pPr>
              <w:pStyle w:val="TableRow"/>
              <w:spacing w:after="120"/>
              <w:rPr>
                <w:rFonts w:cs="Arial"/>
                <w:iCs/>
                <w:color w:val="auto"/>
                <w:lang w:val="en-US"/>
              </w:rPr>
            </w:pPr>
            <w:r w:rsidRPr="00D11F7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w:t>
            </w:r>
            <w:r w:rsidR="009A365F" w:rsidRPr="00D11F72">
              <w:rPr>
                <w:rFonts w:cs="Arial"/>
                <w:iCs/>
                <w:color w:val="auto"/>
                <w:lang w:val="en-US"/>
              </w:rPr>
              <w:t>ed</w:t>
            </w:r>
            <w:r w:rsidRPr="00D11F72">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D11F72" w:rsidRDefault="007060ED" w:rsidP="007B323B">
            <w:pPr>
              <w:suppressAutoHyphens w:val="0"/>
              <w:autoSpaceDN/>
              <w:spacing w:before="60" w:after="60" w:line="240" w:lineRule="auto"/>
              <w:ind w:left="57" w:right="57"/>
              <w:rPr>
                <w:color w:val="auto"/>
              </w:rPr>
            </w:pPr>
            <w:r w:rsidRPr="00D11F72">
              <w:rPr>
                <w:color w:val="auto"/>
              </w:rPr>
              <w:t>T</w:t>
            </w:r>
            <w:r w:rsidR="00904E68" w:rsidRPr="00D11F72">
              <w:rPr>
                <w:color w:val="auto"/>
              </w:rPr>
              <w:t xml:space="preserve">uition </w:t>
            </w:r>
            <w:r w:rsidR="00E656D9" w:rsidRPr="00D11F72">
              <w:rPr>
                <w:color w:val="auto"/>
              </w:rPr>
              <w:t>targeted at specific needs</w:t>
            </w:r>
            <w:r w:rsidR="009D082A" w:rsidRPr="00D11F72">
              <w:rPr>
                <w:color w:val="auto"/>
              </w:rPr>
              <w:t xml:space="preserve"> </w:t>
            </w:r>
            <w:r w:rsidR="00C636ED" w:rsidRPr="00D11F72">
              <w:rPr>
                <w:color w:val="auto"/>
              </w:rPr>
              <w:t xml:space="preserve">and knowledge gaps </w:t>
            </w:r>
            <w:r w:rsidR="00D16358" w:rsidRPr="00D11F72">
              <w:rPr>
                <w:color w:val="auto"/>
              </w:rPr>
              <w:t>can</w:t>
            </w:r>
            <w:r w:rsidR="009D082A" w:rsidRPr="00D11F72">
              <w:rPr>
                <w:color w:val="auto"/>
              </w:rPr>
              <w:t xml:space="preserve"> </w:t>
            </w:r>
            <w:r w:rsidR="00D16358" w:rsidRPr="00D11F72">
              <w:rPr>
                <w:color w:val="auto"/>
              </w:rPr>
              <w:t xml:space="preserve">be </w:t>
            </w:r>
            <w:r w:rsidR="00CF26E9" w:rsidRPr="00D11F72">
              <w:rPr>
                <w:color w:val="auto"/>
              </w:rPr>
              <w:t xml:space="preserve">an effective </w:t>
            </w:r>
            <w:r w:rsidR="00496236" w:rsidRPr="00D11F72">
              <w:rPr>
                <w:color w:val="auto"/>
              </w:rPr>
              <w:t>method to support low attaining pupils</w:t>
            </w:r>
            <w:r w:rsidR="003B470F" w:rsidRPr="00D11F72">
              <w:rPr>
                <w:color w:val="auto"/>
              </w:rPr>
              <w:t xml:space="preserve"> or those fal</w:t>
            </w:r>
            <w:r w:rsidR="003B470F" w:rsidRPr="00D11F72">
              <w:rPr>
                <w:color w:val="auto"/>
              </w:rPr>
              <w:t>l</w:t>
            </w:r>
            <w:r w:rsidR="003B470F" w:rsidRPr="00D11F72">
              <w:rPr>
                <w:color w:val="auto"/>
              </w:rPr>
              <w:t>ing behind</w:t>
            </w:r>
            <w:r w:rsidRPr="00D11F72">
              <w:rPr>
                <w:color w:val="auto"/>
              </w:rPr>
              <w:t>, both one-to-one</w:t>
            </w:r>
            <w:r w:rsidR="00496236" w:rsidRPr="00D11F72">
              <w:rPr>
                <w:color w:val="auto"/>
              </w:rPr>
              <w:t>:</w:t>
            </w:r>
          </w:p>
          <w:p w14:paraId="47B330BD" w14:textId="79E9950C" w:rsidR="00421546" w:rsidRPr="00D11F72" w:rsidRDefault="00F93756" w:rsidP="007B323B">
            <w:pPr>
              <w:suppressAutoHyphens w:val="0"/>
              <w:autoSpaceDN/>
              <w:spacing w:before="60" w:after="60" w:line="240" w:lineRule="auto"/>
              <w:ind w:left="57" w:right="57"/>
              <w:rPr>
                <w:color w:val="0070C0"/>
              </w:rPr>
            </w:pPr>
            <w:hyperlink r:id="rId18" w:history="1">
              <w:r w:rsidR="00EF248F" w:rsidRPr="00D11F72">
                <w:rPr>
                  <w:color w:val="0070C0"/>
                  <w:u w:val="single"/>
                </w:rPr>
                <w:t>One to one tuition | EEF (educationendo</w:t>
              </w:r>
              <w:r w:rsidR="00EF248F" w:rsidRPr="00D11F72">
                <w:rPr>
                  <w:color w:val="0070C0"/>
                  <w:u w:val="single"/>
                </w:rPr>
                <w:t>w</w:t>
              </w:r>
              <w:r w:rsidR="00EF248F" w:rsidRPr="00D11F72">
                <w:rPr>
                  <w:color w:val="0070C0"/>
                  <w:u w:val="single"/>
                </w:rPr>
                <w:t>mentfoundation.org.uk)</w:t>
              </w:r>
            </w:hyperlink>
          </w:p>
          <w:p w14:paraId="1107DD3B" w14:textId="4FAED350" w:rsidR="00EF248F" w:rsidRPr="00D11F72" w:rsidRDefault="00EF248F" w:rsidP="007B323B">
            <w:pPr>
              <w:suppressAutoHyphens w:val="0"/>
              <w:autoSpaceDN/>
              <w:spacing w:before="60" w:after="60" w:line="240" w:lineRule="auto"/>
              <w:ind w:left="57" w:right="57"/>
              <w:rPr>
                <w:color w:val="auto"/>
              </w:rPr>
            </w:pPr>
            <w:r w:rsidRPr="00D11F72">
              <w:rPr>
                <w:color w:val="auto"/>
              </w:rPr>
              <w:t>And in small groups:</w:t>
            </w:r>
          </w:p>
          <w:p w14:paraId="7E164B51" w14:textId="66084BCC" w:rsidR="00A45684" w:rsidRPr="00D11F72" w:rsidRDefault="00F93756" w:rsidP="00EF248F">
            <w:pPr>
              <w:suppressAutoHyphens w:val="0"/>
              <w:autoSpaceDN/>
              <w:spacing w:before="60" w:after="120" w:line="240" w:lineRule="auto"/>
              <w:ind w:left="57" w:right="57"/>
              <w:rPr>
                <w:color w:val="auto"/>
                <w:u w:val="single"/>
              </w:rPr>
            </w:pPr>
            <w:hyperlink r:id="rId19" w:history="1">
              <w:r w:rsidR="007B323B" w:rsidRPr="00D11F72">
                <w:rPr>
                  <w:color w:val="0070C0"/>
                  <w:u w:val="single"/>
                </w:rPr>
                <w:t>Small group tuition | Toolkit Strand | Educ</w:t>
              </w:r>
              <w:r w:rsidR="007B323B" w:rsidRPr="00D11F72">
                <w:rPr>
                  <w:color w:val="0070C0"/>
                  <w:u w:val="single"/>
                </w:rPr>
                <w:t>a</w:t>
              </w:r>
              <w:r w:rsidR="007B323B" w:rsidRPr="00D11F72">
                <w:rPr>
                  <w:color w:val="0070C0"/>
                  <w:u w:val="single"/>
                </w:rPr>
                <w:t>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74C13C60" w:rsidR="005153E1" w:rsidRPr="00D11F72" w:rsidRDefault="00080CB4" w:rsidP="00B8060C">
            <w:pPr>
              <w:pStyle w:val="TableRowCentered"/>
              <w:jc w:val="left"/>
              <w:rPr>
                <w:color w:val="auto"/>
                <w:szCs w:val="22"/>
              </w:rPr>
            </w:pPr>
            <w:r w:rsidRPr="00D11F72">
              <w:rPr>
                <w:color w:val="auto"/>
                <w:szCs w:val="22"/>
              </w:rPr>
              <w:t>1, 3, 4</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08794C79" w:rsidR="00E66558" w:rsidRDefault="009D71E8" w:rsidP="00877501">
      <w:pPr>
        <w:spacing w:before="240"/>
      </w:pPr>
      <w:r>
        <w:t xml:space="preserve">Budgeted cost: </w:t>
      </w:r>
      <w:r w:rsidRPr="00E27862">
        <w:rPr>
          <w:b/>
          <w:bCs/>
          <w:color w:val="auto"/>
        </w:rPr>
        <w:t>£</w:t>
      </w:r>
      <w:r w:rsidR="004F6186">
        <w:rPr>
          <w:b/>
          <w:bCs/>
          <w:color w:val="auto"/>
        </w:rPr>
        <w:t>2300</w:t>
      </w:r>
    </w:p>
    <w:tbl>
      <w:tblPr>
        <w:tblW w:w="5000" w:type="pct"/>
        <w:tblLayout w:type="fixed"/>
        <w:tblCellMar>
          <w:left w:w="10" w:type="dxa"/>
          <w:right w:w="10" w:type="dxa"/>
        </w:tblCellMar>
        <w:tblLook w:val="04A0" w:firstRow="1" w:lastRow="0" w:firstColumn="1" w:lastColumn="0" w:noHBand="0" w:noVBand="1"/>
      </w:tblPr>
      <w:tblGrid>
        <w:gridCol w:w="4350"/>
        <w:gridCol w:w="3795"/>
        <w:gridCol w:w="1567"/>
      </w:tblGrid>
      <w:tr w:rsidR="00E66558" w14:paraId="2A7D5537" w14:textId="77777777" w:rsidTr="0028563F">
        <w:tc>
          <w:tcPr>
            <w:tcW w:w="43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A6754" w14:paraId="52AD304A" w14:textId="77777777" w:rsidTr="0028563F">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8" w14:textId="363AF7EE" w:rsidR="00BA6754" w:rsidRPr="00D11F72" w:rsidRDefault="006D1916">
            <w:pPr>
              <w:pStyle w:val="TableRow"/>
              <w:rPr>
                <w:iCs/>
                <w:color w:val="auto"/>
                <w:szCs w:val="28"/>
                <w:lang w:val="en-US"/>
              </w:rPr>
            </w:pPr>
            <w:r w:rsidRPr="00D11F72">
              <w:rPr>
                <w:iCs/>
                <w:color w:val="auto"/>
                <w:szCs w:val="28"/>
                <w:lang w:val="en-US"/>
              </w:rPr>
              <w:lastRenderedPageBreak/>
              <w:t>Individual and small group wellbeing</w:t>
            </w:r>
          </w:p>
          <w:p w14:paraId="103401EF" w14:textId="77777777" w:rsidR="00174D67" w:rsidRPr="00D11F72" w:rsidRDefault="00174D67" w:rsidP="00174D67">
            <w:pPr>
              <w:pStyle w:val="TableRow"/>
              <w:numPr>
                <w:ilvl w:val="0"/>
                <w:numId w:val="32"/>
              </w:numPr>
              <w:rPr>
                <w:iCs/>
                <w:color w:val="auto"/>
                <w:szCs w:val="28"/>
                <w:lang w:val="en-US"/>
              </w:rPr>
            </w:pPr>
            <w:r w:rsidRPr="00D11F72">
              <w:rPr>
                <w:iCs/>
                <w:color w:val="auto"/>
                <w:szCs w:val="28"/>
                <w:lang w:val="en-US"/>
              </w:rPr>
              <w:t>ELSA</w:t>
            </w:r>
          </w:p>
          <w:p w14:paraId="7BEAF4D9" w14:textId="12E93650" w:rsidR="00174D67" w:rsidRPr="00D11F72" w:rsidRDefault="00174D67" w:rsidP="00174D67">
            <w:pPr>
              <w:pStyle w:val="TableRow"/>
              <w:numPr>
                <w:ilvl w:val="0"/>
                <w:numId w:val="32"/>
              </w:numPr>
              <w:rPr>
                <w:iCs/>
                <w:color w:val="auto"/>
                <w:szCs w:val="28"/>
                <w:lang w:val="en-US"/>
              </w:rPr>
            </w:pPr>
            <w:r w:rsidRPr="00D11F72">
              <w:rPr>
                <w:iCs/>
                <w:color w:val="auto"/>
                <w:szCs w:val="28"/>
                <w:lang w:val="en-US"/>
              </w:rPr>
              <w:t>Monitoring &amp; support by SENCO</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7B62" w14:textId="77777777" w:rsidR="00FB4E3A" w:rsidRPr="00D11F72" w:rsidRDefault="006D1916" w:rsidP="0095633E">
            <w:pPr>
              <w:pStyle w:val="TableRowCentered"/>
              <w:spacing w:after="120"/>
              <w:ind w:left="37"/>
              <w:jc w:val="left"/>
              <w:rPr>
                <w:color w:val="auto"/>
                <w:szCs w:val="22"/>
              </w:rPr>
            </w:pPr>
            <w:r w:rsidRPr="00D11F72">
              <w:rPr>
                <w:color w:val="auto"/>
                <w:szCs w:val="22"/>
              </w:rPr>
              <w:t>There is extensive evidence associating childhood social and emotional skills with improved outcomes at school and in later life</w:t>
            </w:r>
          </w:p>
          <w:p w14:paraId="54A235BE" w14:textId="77777777" w:rsidR="006D1916" w:rsidRPr="00D11F72" w:rsidRDefault="006D1916" w:rsidP="0095633E">
            <w:pPr>
              <w:pStyle w:val="TableRowCentered"/>
              <w:spacing w:after="120"/>
              <w:ind w:left="37"/>
              <w:jc w:val="left"/>
              <w:rPr>
                <w:color w:val="auto"/>
                <w:szCs w:val="22"/>
              </w:rPr>
            </w:pPr>
            <w:r w:rsidRPr="00D11F72">
              <w:rPr>
                <w:color w:val="auto"/>
                <w:szCs w:val="22"/>
              </w:rPr>
              <w:t>(e.g. improved academic performance, attitudes, behaviour and relationships with peers):</w:t>
            </w:r>
          </w:p>
          <w:p w14:paraId="20C9E5A1" w14:textId="77777777" w:rsidR="006D1916" w:rsidRPr="00D11F72" w:rsidRDefault="00F93756" w:rsidP="0095633E">
            <w:pPr>
              <w:pStyle w:val="TableRowCentered"/>
              <w:spacing w:after="120"/>
              <w:ind w:left="37"/>
              <w:jc w:val="left"/>
              <w:rPr>
                <w:color w:val="auto"/>
                <w:szCs w:val="22"/>
              </w:rPr>
            </w:pPr>
            <w:hyperlink r:id="rId20" w:history="1">
              <w:r w:rsidR="006D1916" w:rsidRPr="00D11F72">
                <w:rPr>
                  <w:rStyle w:val="Hyperlink"/>
                  <w:szCs w:val="22"/>
                </w:rPr>
                <w:t>https://educationendowmentfoundation.org.uk/public/files/Publications/SEL/EEF_Social_and_Emotional_Learning.pdf</w:t>
              </w:r>
            </w:hyperlink>
            <w:r w:rsidR="006D1916" w:rsidRPr="00D11F72">
              <w:rPr>
                <w:color w:val="auto"/>
                <w:szCs w:val="22"/>
              </w:rPr>
              <w:t xml:space="preserve"> </w:t>
            </w:r>
          </w:p>
          <w:p w14:paraId="7FC02762" w14:textId="46E72C04" w:rsidR="006D1916" w:rsidRPr="00D11F72" w:rsidRDefault="006D1916" w:rsidP="0095633E">
            <w:pPr>
              <w:pStyle w:val="TableRowCentered"/>
              <w:spacing w:after="120"/>
              <w:ind w:left="37"/>
              <w:jc w:val="left"/>
              <w:rPr>
                <w:color w:val="auto"/>
                <w:szCs w:val="22"/>
              </w:rPr>
            </w:pPr>
            <w:r w:rsidRPr="00D11F72">
              <w:rPr>
                <w:color w:val="auto"/>
                <w:szCs w:val="22"/>
              </w:rPr>
              <w:t>EEF: Social and emotional learning approaches have a positive impact, on average, of 4 months’ additional progress in academic outcomes over the course of an academic year; studies in the Toolkit focus primary on academic outcomes, but it is important to consider the other benefits of SEL interventions; evidence indicates that there is particular promise for approaches that focus on improving social interaction between pupils.</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1DE6E1F2" w:rsidR="00BA6754" w:rsidRPr="00D11F72" w:rsidRDefault="00080CB4">
            <w:pPr>
              <w:pStyle w:val="TableRowCentered"/>
              <w:jc w:val="left"/>
              <w:rPr>
                <w:color w:val="auto"/>
                <w:sz w:val="22"/>
              </w:rPr>
            </w:pPr>
            <w:r w:rsidRPr="00D11F72">
              <w:rPr>
                <w:color w:val="auto"/>
                <w:sz w:val="22"/>
              </w:rPr>
              <w:t>1, 2, 3, 4</w:t>
            </w:r>
          </w:p>
        </w:tc>
      </w:tr>
      <w:tr w:rsidR="00C0387E" w14:paraId="013E1896" w14:textId="77777777" w:rsidTr="0028563F">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82231" w14:textId="264EAC40" w:rsidR="00C0387E" w:rsidRPr="00D11F72" w:rsidRDefault="0028563F" w:rsidP="00A6450E">
            <w:pPr>
              <w:suppressAutoHyphens w:val="0"/>
              <w:autoSpaceDN/>
              <w:spacing w:before="60" w:after="60" w:line="240" w:lineRule="auto"/>
              <w:ind w:left="29" w:right="57"/>
              <w:rPr>
                <w:iCs/>
                <w:color w:val="auto"/>
                <w:szCs w:val="28"/>
                <w:lang w:val="en-US"/>
              </w:rPr>
            </w:pPr>
            <w:r w:rsidRPr="00D11F72">
              <w:rPr>
                <w:iCs/>
                <w:color w:val="auto"/>
                <w:szCs w:val="28"/>
                <w:lang w:val="en-US"/>
              </w:rPr>
              <w:t xml:space="preserve">Contributions to </w:t>
            </w:r>
            <w:r w:rsidR="00F4501D" w:rsidRPr="00D11F72">
              <w:rPr>
                <w:iCs/>
                <w:color w:val="auto"/>
                <w:szCs w:val="28"/>
                <w:lang w:val="en-US"/>
              </w:rPr>
              <w:t>school uniform, trips, visits and extra-curricular clubs</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5A56" w14:textId="424E571A" w:rsidR="00C0387E" w:rsidRPr="00D11F72" w:rsidRDefault="0028563F" w:rsidP="0095633E">
            <w:pPr>
              <w:pStyle w:val="TableRowCentered"/>
              <w:spacing w:after="120"/>
              <w:ind w:left="37"/>
              <w:jc w:val="left"/>
              <w:rPr>
                <w:color w:val="auto"/>
                <w:szCs w:val="22"/>
              </w:rPr>
            </w:pPr>
            <w:r w:rsidRPr="00D11F72">
              <w:rPr>
                <w:color w:val="auto"/>
                <w:szCs w:val="22"/>
              </w:rPr>
              <w:t>Children should a sense of belonging and be included in all aspects of school life</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A7959" w14:textId="108B3421" w:rsidR="00C0387E" w:rsidRPr="00D11F72" w:rsidRDefault="00080CB4">
            <w:pPr>
              <w:pStyle w:val="TableRowCentered"/>
              <w:jc w:val="left"/>
              <w:rPr>
                <w:color w:val="auto"/>
                <w:sz w:val="22"/>
              </w:rPr>
            </w:pPr>
            <w:r w:rsidRPr="00D11F72">
              <w:rPr>
                <w:color w:val="auto"/>
                <w:sz w:val="22"/>
              </w:rPr>
              <w:t>1, 2, 3, 4</w:t>
            </w:r>
          </w:p>
        </w:tc>
      </w:tr>
      <w:tr w:rsidR="00F4501D" w14:paraId="6967FF10" w14:textId="77777777" w:rsidTr="0028563F">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1AB0" w14:textId="756A7D05" w:rsidR="00F4501D" w:rsidRPr="00D11F72" w:rsidRDefault="00F4501D" w:rsidP="00F4501D">
            <w:pPr>
              <w:suppressAutoHyphens w:val="0"/>
              <w:autoSpaceDN/>
              <w:spacing w:before="60" w:after="60" w:line="240" w:lineRule="auto"/>
              <w:ind w:left="29" w:right="57"/>
              <w:rPr>
                <w:iCs/>
                <w:color w:val="auto"/>
                <w:szCs w:val="28"/>
                <w:lang w:val="en-US"/>
              </w:rPr>
            </w:pPr>
            <w:r w:rsidRPr="00D11F72">
              <w:t>Access to clubs and extracurricular activities</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C1A7" w14:textId="4229E393" w:rsidR="00F4501D" w:rsidRPr="00D11F72" w:rsidRDefault="00F4501D" w:rsidP="0095633E">
            <w:pPr>
              <w:pStyle w:val="TableRowCentered"/>
              <w:spacing w:after="120"/>
              <w:ind w:left="37"/>
              <w:jc w:val="left"/>
              <w:rPr>
                <w:color w:val="auto"/>
                <w:szCs w:val="22"/>
              </w:rPr>
            </w:pPr>
            <w:r w:rsidRPr="00D11F72">
              <w:t>Outcomes for children who are able to take part in extracurricular clubs and activities including the ‘arts’ are improved (EEF report on Arts participation). Can also support children to re-engage in their learning and improve well-being, feel valued and play an active part in school life.</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1D46" w14:textId="2A742694" w:rsidR="00F4501D" w:rsidRPr="00D11F72" w:rsidRDefault="00080CB4">
            <w:pPr>
              <w:pStyle w:val="TableRowCentered"/>
              <w:jc w:val="left"/>
              <w:rPr>
                <w:color w:val="auto"/>
                <w:sz w:val="22"/>
              </w:rPr>
            </w:pPr>
            <w:r w:rsidRPr="00D11F72">
              <w:rPr>
                <w:color w:val="auto"/>
                <w:sz w:val="22"/>
              </w:rPr>
              <w:t>1, 2, 3, 4</w:t>
            </w:r>
          </w:p>
        </w:tc>
      </w:tr>
      <w:tr w:rsidR="0028563F" w:rsidRPr="00E27862" w14:paraId="08684CF7" w14:textId="77777777" w:rsidTr="0028563F">
        <w:tc>
          <w:tcPr>
            <w:tcW w:w="4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E2FE3" w14:textId="77777777" w:rsidR="0028563F" w:rsidRPr="00D11F72" w:rsidRDefault="0028563F" w:rsidP="006C4110">
            <w:pPr>
              <w:suppressAutoHyphens w:val="0"/>
              <w:autoSpaceDN/>
              <w:spacing w:before="60" w:after="60" w:line="240" w:lineRule="auto"/>
              <w:ind w:left="29" w:right="57"/>
              <w:rPr>
                <w:iCs/>
                <w:color w:val="auto"/>
                <w:szCs w:val="28"/>
                <w:lang w:val="en-US"/>
              </w:rPr>
            </w:pPr>
            <w:r w:rsidRPr="00D11F72">
              <w:rPr>
                <w:iCs/>
                <w:color w:val="auto"/>
                <w:szCs w:val="28"/>
                <w:lang w:val="en-US"/>
              </w:rPr>
              <w:t>Contingency fund for acute issues.</w:t>
            </w:r>
          </w:p>
          <w:p w14:paraId="1F1FD1D6" w14:textId="77777777" w:rsidR="0028563F" w:rsidRPr="00D11F72" w:rsidRDefault="0028563F" w:rsidP="006C4110">
            <w:pPr>
              <w:pStyle w:val="TableRow"/>
              <w:rPr>
                <w:iCs/>
                <w:color w:val="auto"/>
                <w:szCs w:val="28"/>
                <w:lang w:val="en-US"/>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1C554" w14:textId="77777777" w:rsidR="0028563F" w:rsidRPr="00D11F72" w:rsidRDefault="0028563F" w:rsidP="006C4110">
            <w:pPr>
              <w:pStyle w:val="TableRowCentered"/>
              <w:spacing w:after="120"/>
              <w:ind w:left="37"/>
              <w:jc w:val="left"/>
              <w:rPr>
                <w:color w:val="auto"/>
                <w:szCs w:val="22"/>
              </w:rPr>
            </w:pPr>
            <w:r w:rsidRPr="00D11F72">
              <w:rPr>
                <w:color w:val="auto"/>
                <w:szCs w:val="22"/>
              </w:rPr>
              <w:t>Based on our experiences and those of similar schools to ours, we have identified a need to set a small amount of funding aside to respond quickly to needs that have not yet been identified.</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DF09" w14:textId="16A949B2" w:rsidR="0028563F" w:rsidRPr="006D1916" w:rsidRDefault="00080CB4" w:rsidP="006C4110">
            <w:pPr>
              <w:pStyle w:val="TableRowCentered"/>
              <w:jc w:val="left"/>
              <w:rPr>
                <w:b/>
                <w:color w:val="auto"/>
                <w:sz w:val="22"/>
              </w:rPr>
            </w:pPr>
            <w:r>
              <w:rPr>
                <w:b/>
                <w:color w:val="auto"/>
                <w:sz w:val="22"/>
              </w:rPr>
              <w:t>1, 2, 3, 4</w:t>
            </w:r>
          </w:p>
        </w:tc>
      </w:tr>
    </w:tbl>
    <w:p w14:paraId="00291E16" w14:textId="77777777" w:rsidR="00877501" w:rsidRDefault="00877501" w:rsidP="00877501">
      <w:pPr>
        <w:spacing w:after="120"/>
        <w:rPr>
          <w:b/>
          <w:bCs/>
          <w:color w:val="104F75"/>
          <w:sz w:val="28"/>
          <w:szCs w:val="28"/>
        </w:rPr>
      </w:pPr>
    </w:p>
    <w:p w14:paraId="2A7D5541" w14:textId="3A3C0017" w:rsidR="00E66558" w:rsidRDefault="009D71E8" w:rsidP="00877501">
      <w:r>
        <w:rPr>
          <w:b/>
          <w:bCs/>
          <w:color w:val="104F75"/>
          <w:sz w:val="28"/>
          <w:szCs w:val="28"/>
        </w:rPr>
        <w:lastRenderedPageBreak/>
        <w:t xml:space="preserve">Total budgeted cost: </w:t>
      </w:r>
      <w:r w:rsidRPr="00E27862">
        <w:rPr>
          <w:b/>
          <w:bCs/>
          <w:color w:val="auto"/>
          <w:sz w:val="28"/>
          <w:szCs w:val="28"/>
        </w:rPr>
        <w:t>£</w:t>
      </w:r>
      <w:r w:rsidR="0028563F">
        <w:rPr>
          <w:b/>
          <w:bCs/>
          <w:color w:val="auto"/>
          <w:sz w:val="28"/>
          <w:szCs w:val="28"/>
        </w:rPr>
        <w:t>XXX</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DD4E5" w14:textId="77777777" w:rsidR="003A4C43" w:rsidRDefault="003A4C43" w:rsidP="003A4C43">
            <w:r>
              <w:t>The National Lockdown in January 2021 following the lockdowns of the previous academic year</w:t>
            </w:r>
            <w:r w:rsidRPr="00014FD8">
              <w:t xml:space="preserve"> had a large impact on the progress of all pupils not least those receiving the Pupil Premium Grant</w:t>
            </w:r>
            <w:r>
              <w:t>.</w:t>
            </w:r>
          </w:p>
          <w:p w14:paraId="0B1D036D" w14:textId="77777777" w:rsidR="003A4C43" w:rsidRDefault="003A4C43" w:rsidP="003A4C43">
            <w:r>
              <w:t>Vouchers were provided for all those on free school meals. The school was open throughout the lockdown for key worker and vulnerable children. Approximately a third of the total number of pupils attended during the lockdown period</w:t>
            </w:r>
          </w:p>
          <w:p w14:paraId="731922D8" w14:textId="77777777" w:rsidR="003A4C43" w:rsidRDefault="003A4C43" w:rsidP="003A4C43">
            <w:r>
              <w:t xml:space="preserve">IPads were loaned to pupils who did not have devices to work on for remote learning. The school checked that all families had access to the internet. The government laptop scheme was taken advantage of and which provided three laptops for children in school. </w:t>
            </w:r>
          </w:p>
          <w:p w14:paraId="265AA5CB" w14:textId="77777777" w:rsidR="003A4C43" w:rsidRDefault="003A4C43" w:rsidP="003A4C43">
            <w:r>
              <w:t xml:space="preserve">Phone calls were made home to parents and pupils each week who were struggling to cope with home learning in order to give advice and encouragement. Printing of work for home learning was done for families who needed this help. Bundles of home workbooks were also provided for all pupils. </w:t>
            </w:r>
          </w:p>
          <w:p w14:paraId="7E9710D1" w14:textId="77777777" w:rsidR="003A4C43" w:rsidRPr="00CD7957" w:rsidRDefault="003A4C43" w:rsidP="003A4C43">
            <w:r>
              <w:t>The eSchools platform was used to message children who were struggling academically or emotionally. Messages from the class teachers, TAs , ELSA support and headteacher were sent. Instructional videos were made and sent out to parents to help with home learning.</w:t>
            </w:r>
            <w:r>
              <w:br/>
            </w:r>
          </w:p>
          <w:p w14:paraId="046D2B59" w14:textId="77777777" w:rsidR="003A4C43" w:rsidRDefault="003A4C43" w:rsidP="003A4C43">
            <w:r>
              <w:t>Individual case studies and progress data are available in school to see which strategies were particularly effective for each pupil.</w:t>
            </w:r>
            <w:r>
              <w:br/>
            </w:r>
            <w:r>
              <w:br/>
            </w:r>
            <w:r w:rsidRPr="00D24967">
              <w:rPr>
                <w:b/>
              </w:rPr>
              <w:t>Key strategies</w:t>
            </w:r>
            <w:r>
              <w:t xml:space="preserve"> shown to have had a </w:t>
            </w:r>
            <w:r w:rsidRPr="00D24967">
              <w:rPr>
                <w:b/>
              </w:rPr>
              <w:t>positive</w:t>
            </w:r>
            <w:r>
              <w:t xml:space="preserve"> impact and </w:t>
            </w:r>
            <w:r w:rsidRPr="007A7F79">
              <w:rPr>
                <w:b/>
              </w:rPr>
              <w:t>lessons learnt</w:t>
            </w:r>
            <w:r>
              <w:t xml:space="preserve"> over time include:</w:t>
            </w:r>
          </w:p>
          <w:p w14:paraId="6B24ADE7" w14:textId="77777777" w:rsidR="003A4C43" w:rsidRDefault="003A4C43" w:rsidP="003A4C43">
            <w:pPr>
              <w:pStyle w:val="ListParagraph"/>
              <w:numPr>
                <w:ilvl w:val="0"/>
                <w:numId w:val="36"/>
              </w:numPr>
              <w:suppressAutoHyphens w:val="0"/>
              <w:autoSpaceDN/>
              <w:spacing w:after="200" w:line="276" w:lineRule="auto"/>
            </w:pPr>
            <w:r w:rsidRPr="0057769D">
              <w:t>TRG on mastery in mathematics for sta</w:t>
            </w:r>
            <w:r>
              <w:t>ff;</w:t>
            </w:r>
            <w:r w:rsidRPr="0057769D">
              <w:t xml:space="preserve"> working with the</w:t>
            </w:r>
            <w:r>
              <w:t xml:space="preserve"> Jurassic Maths Hub. KS2 staff through planning lessons with colleagues and watching the specialist teacher teach have grown in awareness of how children learn and through ana</w:t>
            </w:r>
            <w:r>
              <w:t>l</w:t>
            </w:r>
            <w:r>
              <w:t>yses have grown in knowledge about common misconceptions around children’s learning and understanding in mathematics.</w:t>
            </w:r>
            <w:r w:rsidRPr="0057769D">
              <w:t xml:space="preserve"> </w:t>
            </w:r>
          </w:p>
          <w:p w14:paraId="79305613" w14:textId="77777777" w:rsidR="003A4C43" w:rsidRDefault="003A4C43" w:rsidP="003A4C43">
            <w:pPr>
              <w:pStyle w:val="ListParagraph"/>
              <w:numPr>
                <w:ilvl w:val="0"/>
                <w:numId w:val="36"/>
              </w:numPr>
              <w:suppressAutoHyphens w:val="0"/>
              <w:autoSpaceDN/>
              <w:spacing w:after="200" w:line="276" w:lineRule="auto"/>
            </w:pPr>
            <w:r>
              <w:t xml:space="preserve">Increased </w:t>
            </w:r>
            <w:r w:rsidRPr="0057769D">
              <w:t xml:space="preserve">use of resources and teaching skills to aid pupil’s fluency in maths and their understanding of new concepts. </w:t>
            </w:r>
          </w:p>
          <w:p w14:paraId="4E630B1E" w14:textId="77777777" w:rsidR="003A4C43" w:rsidRDefault="003A4C43" w:rsidP="003A4C43">
            <w:pPr>
              <w:pStyle w:val="ListParagraph"/>
              <w:numPr>
                <w:ilvl w:val="0"/>
                <w:numId w:val="36"/>
              </w:numPr>
              <w:suppressAutoHyphens w:val="0"/>
              <w:autoSpaceDN/>
              <w:spacing w:after="200" w:line="276" w:lineRule="auto"/>
            </w:pPr>
            <w:r>
              <w:lastRenderedPageBreak/>
              <w:t xml:space="preserve">Staff broadened </w:t>
            </w:r>
            <w:r w:rsidRPr="0057769D">
              <w:t>approach to teaching math</w:t>
            </w:r>
            <w:r>
              <w:t xml:space="preserve">ematics and increased accessibility for all pupils. </w:t>
            </w:r>
          </w:p>
          <w:p w14:paraId="48AE4D3F" w14:textId="77777777" w:rsidR="003A4C43" w:rsidRDefault="003A4C43" w:rsidP="003A4C43">
            <w:pPr>
              <w:pStyle w:val="ListParagraph"/>
              <w:numPr>
                <w:ilvl w:val="0"/>
                <w:numId w:val="36"/>
              </w:numPr>
              <w:suppressAutoHyphens w:val="0"/>
              <w:autoSpaceDN/>
              <w:spacing w:after="200" w:line="276" w:lineRule="auto"/>
            </w:pPr>
            <w:r w:rsidRPr="0057769D">
              <w:t>Pre-teaching techniques in order to raise the credibility of targeted pupils in class and hence rais</w:t>
            </w:r>
            <w:r>
              <w:t xml:space="preserve">e their self-esteem. </w:t>
            </w:r>
          </w:p>
          <w:p w14:paraId="61D65170" w14:textId="77777777" w:rsidR="003A4C43" w:rsidRDefault="003A4C43" w:rsidP="003A4C43">
            <w:pPr>
              <w:pStyle w:val="ListParagraph"/>
              <w:numPr>
                <w:ilvl w:val="0"/>
                <w:numId w:val="36"/>
              </w:numPr>
              <w:suppressAutoHyphens w:val="0"/>
              <w:autoSpaceDN/>
              <w:spacing w:after="200" w:line="276" w:lineRule="auto"/>
            </w:pPr>
            <w:r w:rsidRPr="0057769D">
              <w:t xml:space="preserve"> iPad or laptop to pupils who do not have access to a device at home in order to complete homework and remote h</w:t>
            </w:r>
            <w:r>
              <w:t>ome learning.</w:t>
            </w:r>
          </w:p>
          <w:p w14:paraId="75FF1093" w14:textId="77777777" w:rsidR="003A4C43" w:rsidRDefault="003A4C43" w:rsidP="003A4C43">
            <w:pPr>
              <w:pStyle w:val="ListParagraph"/>
              <w:numPr>
                <w:ilvl w:val="0"/>
                <w:numId w:val="36"/>
              </w:numPr>
              <w:suppressAutoHyphens w:val="0"/>
              <w:autoSpaceDN/>
              <w:spacing w:after="200" w:line="276" w:lineRule="auto"/>
            </w:pPr>
            <w:r w:rsidRPr="007E6CC4">
              <w:t xml:space="preserve">Accelerated Reader </w:t>
            </w:r>
            <w:r>
              <w:t xml:space="preserve"> and MyOn</w:t>
            </w:r>
            <w:r w:rsidRPr="007E6CC4">
              <w:t xml:space="preserve">- </w:t>
            </w:r>
            <w:r>
              <w:t>Accessible through Eschools platform. P</w:t>
            </w:r>
            <w:r w:rsidRPr="007E6CC4">
              <w:t>upil’s reading comprehension level, amount of time spent reading for enjoyment and levels</w:t>
            </w:r>
            <w:r>
              <w:t xml:space="preserve"> of self-confidence were maintained over lockdown for the majority of p</w:t>
            </w:r>
            <w:r>
              <w:t>u</w:t>
            </w:r>
            <w:r>
              <w:t>pils.</w:t>
            </w:r>
          </w:p>
          <w:p w14:paraId="552BBDE7" w14:textId="77777777" w:rsidR="003A4C43" w:rsidRDefault="003A4C43" w:rsidP="003A4C43">
            <w:pPr>
              <w:pStyle w:val="ListParagraph"/>
              <w:numPr>
                <w:ilvl w:val="0"/>
                <w:numId w:val="36"/>
              </w:numPr>
              <w:suppressAutoHyphens w:val="0"/>
              <w:autoSpaceDN/>
              <w:spacing w:after="200" w:line="276" w:lineRule="auto"/>
            </w:pPr>
            <w:r w:rsidRPr="007E6CC4">
              <w:t>121 and small group work with qualified teachers to quickly tackle identified gaps and misunderst</w:t>
            </w:r>
            <w:r>
              <w:t xml:space="preserve">andings in learning. </w:t>
            </w:r>
          </w:p>
          <w:p w14:paraId="0A213358" w14:textId="77777777" w:rsidR="003A4C43" w:rsidRDefault="003A4C43" w:rsidP="003A4C43">
            <w:pPr>
              <w:pStyle w:val="ListParagraph"/>
              <w:numPr>
                <w:ilvl w:val="0"/>
                <w:numId w:val="36"/>
              </w:numPr>
              <w:suppressAutoHyphens w:val="0"/>
              <w:autoSpaceDN/>
              <w:spacing w:after="200" w:line="276" w:lineRule="auto"/>
            </w:pPr>
            <w:r>
              <w:t xml:space="preserve"> ‘C</w:t>
            </w:r>
            <w:r w:rsidRPr="007E6CC4">
              <w:t>atch up’ sessions. Popular with the</w:t>
            </w:r>
            <w:r>
              <w:t xml:space="preserve"> children and ‘instant’ impact.</w:t>
            </w:r>
          </w:p>
          <w:p w14:paraId="36BB6414" w14:textId="77777777" w:rsidR="003A4C43" w:rsidRDefault="003A4C43" w:rsidP="003A4C43">
            <w:pPr>
              <w:pStyle w:val="ListParagraph"/>
              <w:numPr>
                <w:ilvl w:val="0"/>
                <w:numId w:val="36"/>
              </w:numPr>
              <w:suppressAutoHyphens w:val="0"/>
              <w:autoSpaceDN/>
              <w:spacing w:after="200" w:line="276" w:lineRule="auto"/>
            </w:pPr>
            <w:r w:rsidRPr="007E6CC4">
              <w:t xml:space="preserve">Homework club supported identified misconceptions and boosted self-esteem. </w:t>
            </w:r>
            <w:r>
              <w:t xml:space="preserve">Also gave the support to children who do not receive this at home. </w:t>
            </w:r>
            <w:r w:rsidRPr="007E6CC4">
              <w:t>Welcomed by the children avoiding argu</w:t>
            </w:r>
            <w:r>
              <w:t>ments at home.</w:t>
            </w:r>
          </w:p>
          <w:p w14:paraId="4DFB1414" w14:textId="77777777" w:rsidR="003A4C43" w:rsidRDefault="003A4C43" w:rsidP="003A4C43">
            <w:pPr>
              <w:pStyle w:val="ListParagraph"/>
              <w:numPr>
                <w:ilvl w:val="0"/>
                <w:numId w:val="36"/>
              </w:numPr>
              <w:suppressAutoHyphens w:val="0"/>
              <w:autoSpaceDN/>
              <w:spacing w:after="200" w:line="276" w:lineRule="auto"/>
            </w:pPr>
            <w:r>
              <w:t>Curriculum development to ensure progression of skills and knowledge throug</w:t>
            </w:r>
            <w:r>
              <w:t>h</w:t>
            </w:r>
            <w:r>
              <w:t>out year groups and the school.</w:t>
            </w:r>
          </w:p>
          <w:p w14:paraId="343E21AD" w14:textId="77777777" w:rsidR="003A4C43" w:rsidRDefault="003A4C43" w:rsidP="003A4C43">
            <w:pPr>
              <w:pStyle w:val="ListParagraph"/>
              <w:numPr>
                <w:ilvl w:val="0"/>
                <w:numId w:val="36"/>
              </w:numPr>
              <w:suppressAutoHyphens w:val="0"/>
              <w:autoSpaceDN/>
              <w:spacing w:after="200" w:line="276" w:lineRule="auto"/>
            </w:pPr>
            <w:r>
              <w:t>Wellbeing questionnaires for all pupils. Areas of concern identified for groups and individuals and then followed up in class PHSE lessons and with ELSA se</w:t>
            </w:r>
            <w:r>
              <w:t>s</w:t>
            </w:r>
            <w:r>
              <w:t xml:space="preserve">sions. Parents also spoken to where appropriate. </w:t>
            </w:r>
          </w:p>
          <w:p w14:paraId="2A7D5546" w14:textId="4E9EBE97" w:rsidR="00220984" w:rsidRPr="00220984" w:rsidRDefault="003A4C43" w:rsidP="003A4C43">
            <w:pPr>
              <w:suppressAutoHyphens w:val="0"/>
              <w:autoSpaceDN/>
              <w:spacing w:after="120"/>
              <w:rPr>
                <w:color w:val="0070C0"/>
                <w:lang w:eastAsia="en-US"/>
              </w:rPr>
            </w:pPr>
            <w:r>
              <w:t>Bubbles were joined in each Key Stage for a number of weeks in order for pupils to i</w:t>
            </w:r>
            <w:r>
              <w:t>n</w:t>
            </w:r>
            <w:r>
              <w:t>teract with each other and be more prepared for transition to the next class.</w:t>
            </w:r>
            <w:r w:rsidRPr="007E6CC4">
              <w:br/>
            </w:r>
          </w:p>
        </w:tc>
      </w:tr>
      <w:bookmarkEnd w:id="15"/>
      <w:bookmarkEnd w:id="16"/>
      <w:bookmarkEnd w:id="17"/>
    </w:tbl>
    <w:p w14:paraId="2A7D555F" w14:textId="77777777" w:rsidR="00E66558" w:rsidRDefault="00E66558">
      <w:pPr>
        <w:spacing w:after="0" w:line="240" w:lineRule="auto"/>
      </w:pPr>
    </w:p>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434C9" w14:textId="77777777" w:rsidR="00F93756" w:rsidRDefault="00F93756">
      <w:pPr>
        <w:spacing w:after="0" w:line="240" w:lineRule="auto"/>
      </w:pPr>
      <w:r>
        <w:separator/>
      </w:r>
    </w:p>
  </w:endnote>
  <w:endnote w:type="continuationSeparator" w:id="0">
    <w:p w14:paraId="66CA7547" w14:textId="77777777" w:rsidR="00F93756" w:rsidRDefault="00F93756">
      <w:pPr>
        <w:spacing w:after="0" w:line="240" w:lineRule="auto"/>
      </w:pPr>
      <w:r>
        <w:continuationSeparator/>
      </w:r>
    </w:p>
  </w:endnote>
  <w:endnote w:type="continuationNotice" w:id="1">
    <w:p w14:paraId="6955AA38" w14:textId="77777777" w:rsidR="00F93756" w:rsidRDefault="00F93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E" w14:textId="77777777" w:rsidR="003529D4" w:rsidRDefault="009D71E8">
    <w:pPr>
      <w:pStyle w:val="Footer"/>
      <w:ind w:firstLine="4513"/>
    </w:pPr>
    <w:r>
      <w:fldChar w:fldCharType="begin"/>
    </w:r>
    <w:r>
      <w:instrText xml:space="preserve"> PAGE </w:instrText>
    </w:r>
    <w:r>
      <w:fldChar w:fldCharType="separate"/>
    </w:r>
    <w:r w:rsidR="00EE510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86E78" w14:textId="77777777" w:rsidR="00F93756" w:rsidRDefault="00F93756">
      <w:pPr>
        <w:spacing w:after="0" w:line="240" w:lineRule="auto"/>
      </w:pPr>
      <w:r>
        <w:separator/>
      </w:r>
    </w:p>
  </w:footnote>
  <w:footnote w:type="continuationSeparator" w:id="0">
    <w:p w14:paraId="49DB9CB2" w14:textId="77777777" w:rsidR="00F93756" w:rsidRDefault="00F93756">
      <w:pPr>
        <w:spacing w:after="0" w:line="240" w:lineRule="auto"/>
      </w:pPr>
      <w:r>
        <w:continuationSeparator/>
      </w:r>
    </w:p>
  </w:footnote>
  <w:footnote w:type="continuationNotice" w:id="1">
    <w:p w14:paraId="5A3B6D8F" w14:textId="77777777" w:rsidR="00F93756" w:rsidRDefault="00F937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54BC" w14:textId="77777777" w:rsidR="003529D4" w:rsidRDefault="00352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nsid w:val="2AB3562C"/>
    <w:multiLevelType w:val="hybridMultilevel"/>
    <w:tmpl w:val="451A6474"/>
    <w:lvl w:ilvl="0" w:tplc="9DEE1E44">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0B78E5"/>
    <w:multiLevelType w:val="hybridMultilevel"/>
    <w:tmpl w:val="75BA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52C2323"/>
    <w:multiLevelType w:val="hybridMultilevel"/>
    <w:tmpl w:val="CC522342"/>
    <w:lvl w:ilvl="0" w:tplc="7BCEEC1E">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8">
    <w:nsid w:val="71540202"/>
    <w:multiLevelType w:val="hybridMultilevel"/>
    <w:tmpl w:val="6AAE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35">
    <w:nsid w:val="7F7A3DD5"/>
    <w:multiLevelType w:val="hybridMultilevel"/>
    <w:tmpl w:val="5F12B950"/>
    <w:lvl w:ilvl="0" w:tplc="9DEE1E44">
      <w:start w:val="5"/>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2"/>
  </w:num>
  <w:num w:numId="6">
    <w:abstractNumId w:val="18"/>
  </w:num>
  <w:num w:numId="7">
    <w:abstractNumId w:val="25"/>
  </w:num>
  <w:num w:numId="8">
    <w:abstractNumId w:val="31"/>
  </w:num>
  <w:num w:numId="9">
    <w:abstractNumId w:val="29"/>
  </w:num>
  <w:num w:numId="10">
    <w:abstractNumId w:val="26"/>
  </w:num>
  <w:num w:numId="11">
    <w:abstractNumId w:val="6"/>
  </w:num>
  <w:num w:numId="12">
    <w:abstractNumId w:val="30"/>
  </w:num>
  <w:num w:numId="13">
    <w:abstractNumId w:val="22"/>
  </w:num>
  <w:num w:numId="14">
    <w:abstractNumId w:val="12"/>
  </w:num>
  <w:num w:numId="15">
    <w:abstractNumId w:val="21"/>
  </w:num>
  <w:num w:numId="16">
    <w:abstractNumId w:val="34"/>
  </w:num>
  <w:num w:numId="17">
    <w:abstractNumId w:val="13"/>
  </w:num>
  <w:num w:numId="18">
    <w:abstractNumId w:val="16"/>
  </w:num>
  <w:num w:numId="19">
    <w:abstractNumId w:val="0"/>
  </w:num>
  <w:num w:numId="20">
    <w:abstractNumId w:val="20"/>
  </w:num>
  <w:num w:numId="21">
    <w:abstractNumId w:val="1"/>
  </w:num>
  <w:num w:numId="22">
    <w:abstractNumId w:val="17"/>
  </w:num>
  <w:num w:numId="23">
    <w:abstractNumId w:val="33"/>
  </w:num>
  <w:num w:numId="24">
    <w:abstractNumId w:val="27"/>
  </w:num>
  <w:num w:numId="25">
    <w:abstractNumId w:val="3"/>
  </w:num>
  <w:num w:numId="26">
    <w:abstractNumId w:val="14"/>
  </w:num>
  <w:num w:numId="27">
    <w:abstractNumId w:val="19"/>
  </w:num>
  <w:num w:numId="28">
    <w:abstractNumId w:val="24"/>
  </w:num>
  <w:num w:numId="29">
    <w:abstractNumId w:val="32"/>
  </w:num>
  <w:num w:numId="30">
    <w:abstractNumId w:val="4"/>
  </w:num>
  <w:num w:numId="31">
    <w:abstractNumId w:val="15"/>
  </w:num>
  <w:num w:numId="32">
    <w:abstractNumId w:val="23"/>
  </w:num>
  <w:num w:numId="33">
    <w:abstractNumId w:val="35"/>
  </w:num>
  <w:num w:numId="34">
    <w:abstractNumId w:val="9"/>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0CB4"/>
    <w:rsid w:val="00081EDE"/>
    <w:rsid w:val="00081FF7"/>
    <w:rsid w:val="000820BC"/>
    <w:rsid w:val="0008250C"/>
    <w:rsid w:val="00082740"/>
    <w:rsid w:val="00083574"/>
    <w:rsid w:val="00084B74"/>
    <w:rsid w:val="00084CBA"/>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4D67"/>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63F"/>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3B2"/>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2E9"/>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4C4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198"/>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ED"/>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0461"/>
    <w:rsid w:val="004F134F"/>
    <w:rsid w:val="004F1769"/>
    <w:rsid w:val="004F2DA0"/>
    <w:rsid w:val="004F3914"/>
    <w:rsid w:val="004F5A6F"/>
    <w:rsid w:val="004F6186"/>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53"/>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6A8A"/>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1916"/>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7EE"/>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47D"/>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243"/>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62D"/>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3345"/>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387E"/>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2DF"/>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1F72"/>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1D6"/>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102"/>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01D"/>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764FF"/>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756"/>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phonic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evidence-reviews/digital-technology-2019" TargetMode="External"/><Relationship Id="rId20"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Maths/KS2_KS3_Maths_Guidance_2017.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97806/Maths_guidance_KS_1_and_2.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15874</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creator>Publishing.TEAM@education.gsi.gov.uk</dc:creator>
  <dc:description>Master-ET-v3.8</dc:description>
  <cp:lastModifiedBy>3345jh</cp:lastModifiedBy>
  <cp:revision>2</cp:revision>
  <cp:lastPrinted>2014-09-17T13:26:00Z</cp:lastPrinted>
  <dcterms:created xsi:type="dcterms:W3CDTF">2021-12-17T15:11:00Z</dcterms:created>
  <dcterms:modified xsi:type="dcterms:W3CDTF">2021-12-17T15:11:00Z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