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C8" w:rsidRDefault="00F5451F">
      <w:pPr>
        <w:pStyle w:val="Heading1"/>
        <w:rPr>
          <w:color w:val="365F91"/>
          <w:u w:color="365F91"/>
        </w:rPr>
      </w:pPr>
      <w:bookmarkStart w:id="0" w:name="_GoBack"/>
      <w:bookmarkEnd w:id="0"/>
      <w:r>
        <w:rPr>
          <w:color w:val="365F91"/>
          <w:u w:color="365F91"/>
        </w:rPr>
        <w:t>Salway Ash CE VA Primary</w:t>
      </w:r>
    </w:p>
    <w:p w:rsidR="001D16C8" w:rsidRDefault="00F5451F">
      <w:pPr>
        <w:pStyle w:val="Heading1"/>
      </w:pPr>
      <w:r>
        <w:t>Inclusion Policy</w:t>
      </w:r>
    </w:p>
    <w:p w:rsidR="001D16C8" w:rsidRDefault="00F5451F">
      <w:pPr>
        <w:pStyle w:val="Heading1"/>
        <w:jc w:val="left"/>
        <w:rPr>
          <w:color w:val="365F91"/>
          <w:u w:color="365F91"/>
        </w:rPr>
      </w:pPr>
      <w:r>
        <w:rPr>
          <w:noProof/>
          <w:lang w:val="en-GB"/>
        </w:rPr>
        <w:drawing>
          <wp:anchor distT="0" distB="0" distL="0" distR="0" simplePos="0" relativeHeight="251659264" behindDoc="0" locked="0" layoutInCell="1" allowOverlap="1">
            <wp:simplePos x="0" y="0"/>
            <wp:positionH relativeFrom="column">
              <wp:posOffset>1133474</wp:posOffset>
            </wp:positionH>
            <wp:positionV relativeFrom="line">
              <wp:posOffset>229235</wp:posOffset>
            </wp:positionV>
            <wp:extent cx="4066541" cy="6554470"/>
            <wp:effectExtent l="0" t="0" r="0" b="0"/>
            <wp:wrapNone/>
            <wp:docPr id="1073741825" name="officeArt object"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Graphical user interface, applicationDescription automatically generated" descr="Graphical user interface, applicationDescription automatically generated"/>
                    <pic:cNvPicPr>
                      <a:picLocks noChangeAspect="1"/>
                    </pic:cNvPicPr>
                  </pic:nvPicPr>
                  <pic:blipFill>
                    <a:blip r:embed="rId8">
                      <a:extLst/>
                    </a:blip>
                    <a:srcRect l="35731" t="18022" r="39009" b="9591"/>
                    <a:stretch>
                      <a:fillRect/>
                    </a:stretch>
                  </pic:blipFill>
                  <pic:spPr>
                    <a:xfrm>
                      <a:off x="0" y="0"/>
                      <a:ext cx="4066541" cy="6554470"/>
                    </a:xfrm>
                    <a:prstGeom prst="rect">
                      <a:avLst/>
                    </a:prstGeom>
                    <a:ln w="12700" cap="flat">
                      <a:noFill/>
                      <a:miter lim="400000"/>
                    </a:ln>
                    <a:effectLst/>
                  </pic:spPr>
                </pic:pic>
              </a:graphicData>
            </a:graphic>
          </wp:anchor>
        </w:drawing>
      </w:r>
      <w:r>
        <w:rPr>
          <w:color w:val="365F91"/>
          <w:u w:color="365F91"/>
        </w:rPr>
        <w:t xml:space="preserve">                              </w:t>
      </w:r>
    </w:p>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p w:rsidR="001D16C8" w:rsidRDefault="001D16C8"/>
    <w:tbl>
      <w:tblPr>
        <w:tblW w:w="97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6"/>
        <w:gridCol w:w="3268"/>
        <w:gridCol w:w="3866"/>
      </w:tblGrid>
      <w:tr w:rsidR="001D16C8">
        <w:trPr>
          <w:trHeight w:val="505"/>
        </w:trPr>
        <w:tc>
          <w:tcPr>
            <w:tcW w:w="2586" w:type="dxa"/>
            <w:tcBorders>
              <w:top w:val="nil"/>
              <w:left w:val="nil"/>
              <w:bottom w:val="single" w:sz="18" w:space="0" w:color="FFFFFF"/>
              <w:right w:val="nil"/>
            </w:tcBorders>
            <w:shd w:val="clear" w:color="auto" w:fill="D8DFDE"/>
            <w:tcMar>
              <w:top w:w="80" w:type="dxa"/>
              <w:left w:w="80" w:type="dxa"/>
              <w:bottom w:w="80" w:type="dxa"/>
              <w:right w:w="80" w:type="dxa"/>
            </w:tcMar>
          </w:tcPr>
          <w:p w:rsidR="001D16C8" w:rsidRDefault="00F5451F">
            <w:pPr>
              <w:pStyle w:val="1bodycopy10pt"/>
            </w:pPr>
            <w:r>
              <w:rPr>
                <w:b/>
                <w:bCs/>
              </w:rPr>
              <w:t>Approved by:</w:t>
            </w:r>
          </w:p>
        </w:tc>
        <w:tc>
          <w:tcPr>
            <w:tcW w:w="3268" w:type="dxa"/>
            <w:tcBorders>
              <w:top w:val="nil"/>
              <w:left w:val="nil"/>
              <w:bottom w:val="single" w:sz="18" w:space="0" w:color="FFFFFF"/>
              <w:right w:val="nil"/>
            </w:tcBorders>
            <w:shd w:val="clear" w:color="auto" w:fill="D8DFDE"/>
            <w:tcMar>
              <w:top w:w="80" w:type="dxa"/>
              <w:left w:w="80" w:type="dxa"/>
              <w:bottom w:w="80" w:type="dxa"/>
              <w:right w:w="930" w:type="dxa"/>
            </w:tcMar>
          </w:tcPr>
          <w:p w:rsidR="001D16C8" w:rsidRDefault="00F5451F">
            <w:pPr>
              <w:pStyle w:val="1bodycopy11pt"/>
            </w:pPr>
            <w:r>
              <w:t>Leif Overment - Headteacher</w:t>
            </w:r>
          </w:p>
        </w:tc>
        <w:tc>
          <w:tcPr>
            <w:tcW w:w="3866" w:type="dxa"/>
            <w:tcBorders>
              <w:top w:val="nil"/>
              <w:left w:val="nil"/>
              <w:bottom w:val="single" w:sz="18" w:space="0" w:color="FFFFFF"/>
              <w:right w:val="nil"/>
            </w:tcBorders>
            <w:shd w:val="clear" w:color="auto" w:fill="D8DFDE"/>
            <w:tcMar>
              <w:top w:w="80" w:type="dxa"/>
              <w:left w:w="80" w:type="dxa"/>
              <w:bottom w:w="80" w:type="dxa"/>
              <w:right w:w="930" w:type="dxa"/>
            </w:tcMar>
          </w:tcPr>
          <w:p w:rsidR="001D16C8" w:rsidRDefault="00F5451F">
            <w:pPr>
              <w:pStyle w:val="1bodycopy11pt"/>
            </w:pPr>
            <w:r>
              <w:rPr>
                <w:b/>
                <w:bCs/>
              </w:rPr>
              <w:t>Date:</w:t>
            </w:r>
            <w:r w:rsidR="002271C9">
              <w:t xml:space="preserve">  March</w:t>
            </w:r>
            <w:r>
              <w:t xml:space="preserve"> 2025</w:t>
            </w:r>
          </w:p>
        </w:tc>
      </w:tr>
      <w:tr w:rsidR="001D16C8">
        <w:trPr>
          <w:trHeight w:val="278"/>
        </w:trPr>
        <w:tc>
          <w:tcPr>
            <w:tcW w:w="2586" w:type="dxa"/>
            <w:tcBorders>
              <w:top w:val="single" w:sz="18" w:space="0" w:color="FFFFFF"/>
              <w:left w:val="nil"/>
              <w:bottom w:val="single" w:sz="18" w:space="0" w:color="FFFFFF"/>
              <w:right w:val="nil"/>
            </w:tcBorders>
            <w:shd w:val="clear" w:color="auto" w:fill="D8DFDE"/>
            <w:tcMar>
              <w:top w:w="80" w:type="dxa"/>
              <w:left w:w="80" w:type="dxa"/>
              <w:bottom w:w="80" w:type="dxa"/>
              <w:right w:w="80" w:type="dxa"/>
            </w:tcMar>
          </w:tcPr>
          <w:p w:rsidR="001D16C8" w:rsidRDefault="00F5451F">
            <w:pPr>
              <w:pStyle w:val="1bodycopy10pt"/>
            </w:pPr>
            <w:r>
              <w:rPr>
                <w:b/>
                <w:bCs/>
              </w:rPr>
              <w:t>Last reviewed on:</w:t>
            </w:r>
          </w:p>
        </w:tc>
        <w:tc>
          <w:tcPr>
            <w:tcW w:w="7134" w:type="dxa"/>
            <w:gridSpan w:val="2"/>
            <w:tcBorders>
              <w:top w:val="single" w:sz="18" w:space="0" w:color="FFFFFF"/>
              <w:left w:val="nil"/>
              <w:bottom w:val="single" w:sz="18" w:space="0" w:color="FFFFFF"/>
              <w:right w:val="nil"/>
            </w:tcBorders>
            <w:shd w:val="clear" w:color="auto" w:fill="D8DFDE"/>
            <w:tcMar>
              <w:top w:w="80" w:type="dxa"/>
              <w:left w:w="80" w:type="dxa"/>
              <w:bottom w:w="80" w:type="dxa"/>
              <w:right w:w="930" w:type="dxa"/>
            </w:tcMar>
          </w:tcPr>
          <w:p w:rsidR="001D16C8" w:rsidRDefault="002271C9">
            <w:pPr>
              <w:pStyle w:val="1bodycopy11pt"/>
            </w:pPr>
            <w:r>
              <w:t>March</w:t>
            </w:r>
            <w:r w:rsidR="00F5451F">
              <w:t xml:space="preserve"> 2025</w:t>
            </w:r>
          </w:p>
        </w:tc>
      </w:tr>
      <w:tr w:rsidR="001D16C8">
        <w:trPr>
          <w:trHeight w:val="265"/>
        </w:trPr>
        <w:tc>
          <w:tcPr>
            <w:tcW w:w="2586" w:type="dxa"/>
            <w:tcBorders>
              <w:top w:val="single" w:sz="18" w:space="0" w:color="FFFFFF"/>
              <w:left w:val="nil"/>
              <w:bottom w:val="nil"/>
              <w:right w:val="nil"/>
            </w:tcBorders>
            <w:shd w:val="clear" w:color="auto" w:fill="D8DFDE"/>
            <w:tcMar>
              <w:top w:w="80" w:type="dxa"/>
              <w:left w:w="80" w:type="dxa"/>
              <w:bottom w:w="80" w:type="dxa"/>
              <w:right w:w="80" w:type="dxa"/>
            </w:tcMar>
          </w:tcPr>
          <w:p w:rsidR="001D16C8" w:rsidRDefault="00F5451F">
            <w:pPr>
              <w:pStyle w:val="1bodycopy10pt"/>
            </w:pPr>
            <w:r>
              <w:rPr>
                <w:b/>
                <w:bCs/>
              </w:rPr>
              <w:t>Next review due by:</w:t>
            </w:r>
          </w:p>
        </w:tc>
        <w:tc>
          <w:tcPr>
            <w:tcW w:w="7134" w:type="dxa"/>
            <w:gridSpan w:val="2"/>
            <w:tcBorders>
              <w:top w:val="single" w:sz="18" w:space="0" w:color="FFFFFF"/>
              <w:left w:val="nil"/>
              <w:bottom w:val="nil"/>
              <w:right w:val="nil"/>
            </w:tcBorders>
            <w:shd w:val="clear" w:color="auto" w:fill="D8DFDE"/>
            <w:tcMar>
              <w:top w:w="80" w:type="dxa"/>
              <w:left w:w="80" w:type="dxa"/>
              <w:bottom w:w="80" w:type="dxa"/>
              <w:right w:w="930" w:type="dxa"/>
            </w:tcMar>
          </w:tcPr>
          <w:p w:rsidR="001D16C8" w:rsidRDefault="002271C9">
            <w:pPr>
              <w:pStyle w:val="1bodycopy11pt"/>
            </w:pPr>
            <w:r>
              <w:t>March</w:t>
            </w:r>
            <w:r w:rsidR="00F5451F">
              <w:t xml:space="preserve"> 2027</w:t>
            </w:r>
          </w:p>
        </w:tc>
      </w:tr>
    </w:tbl>
    <w:p w:rsidR="001D16C8" w:rsidRDefault="001D16C8">
      <w:pPr>
        <w:widowControl w:val="0"/>
        <w:ind w:left="108" w:hanging="108"/>
      </w:pPr>
    </w:p>
    <w:p w:rsidR="001D16C8" w:rsidRDefault="001D16C8">
      <w:pPr>
        <w:pStyle w:val="Heading1"/>
        <w:jc w:val="left"/>
      </w:pPr>
    </w:p>
    <w:p w:rsidR="001D16C8" w:rsidRDefault="00F5451F">
      <w:pPr>
        <w:shd w:val="clear" w:color="auto" w:fill="FFFFFF"/>
        <w:spacing w:after="100"/>
        <w:jc w:val="center"/>
        <w:rPr>
          <w:color w:val="212529"/>
          <w:sz w:val="24"/>
          <w:szCs w:val="24"/>
          <w:u w:color="212529"/>
        </w:rPr>
      </w:pPr>
      <w:r>
        <w:rPr>
          <w:b/>
          <w:bCs/>
          <w:color w:val="212529"/>
          <w:sz w:val="24"/>
          <w:szCs w:val="24"/>
          <w:u w:color="212529"/>
        </w:rPr>
        <w:t xml:space="preserve">School </w:t>
      </w:r>
      <w:r>
        <w:rPr>
          <w:b/>
          <w:bCs/>
          <w:color w:val="212529"/>
          <w:sz w:val="24"/>
          <w:szCs w:val="24"/>
          <w:u w:color="212529"/>
        </w:rPr>
        <w:t>Vision Statement</w:t>
      </w:r>
    </w:p>
    <w:p w:rsidR="001D16C8" w:rsidRDefault="00F5451F">
      <w:pPr>
        <w:shd w:val="clear" w:color="auto" w:fill="FFFFFF"/>
        <w:spacing w:after="100"/>
        <w:rPr>
          <w:color w:val="212529"/>
          <w:sz w:val="24"/>
          <w:szCs w:val="24"/>
          <w:u w:color="212529"/>
        </w:rPr>
      </w:pPr>
      <w:bookmarkStart w:id="1" w:name="_Hlk115244592"/>
      <w:bookmarkEnd w:id="1"/>
      <w:r>
        <w:rPr>
          <w:color w:val="212529"/>
          <w:sz w:val="24"/>
          <w:szCs w:val="24"/>
          <w:u w:color="212529"/>
        </w:rPr>
        <w:t>Our aim at Salway Ash School is to:</w:t>
      </w:r>
    </w:p>
    <w:p w:rsidR="001D16C8" w:rsidRDefault="00F5451F">
      <w:pPr>
        <w:numPr>
          <w:ilvl w:val="0"/>
          <w:numId w:val="2"/>
        </w:numPr>
        <w:shd w:val="clear" w:color="auto" w:fill="FFFFFF"/>
        <w:spacing w:before="100" w:after="100"/>
        <w:rPr>
          <w:color w:val="212529"/>
          <w:sz w:val="24"/>
          <w:szCs w:val="24"/>
        </w:rPr>
      </w:pPr>
      <w:proofErr w:type="gramStart"/>
      <w:r>
        <w:rPr>
          <w:color w:val="212529"/>
          <w:sz w:val="24"/>
          <w:szCs w:val="24"/>
          <w:u w:color="212529"/>
        </w:rPr>
        <w:t>provide</w:t>
      </w:r>
      <w:proofErr w:type="gramEnd"/>
      <w:r>
        <w:rPr>
          <w:color w:val="212529"/>
          <w:sz w:val="24"/>
          <w:szCs w:val="24"/>
          <w:u w:color="212529"/>
        </w:rPr>
        <w:t xml:space="preserve"> a safe and supportive environment where children, staff, parents, governors all work in partnership with the local community to attain high standards, achieving academic, creative, spiritual, </w:t>
      </w:r>
      <w:r>
        <w:rPr>
          <w:color w:val="212529"/>
          <w:sz w:val="24"/>
          <w:szCs w:val="24"/>
          <w:u w:color="212529"/>
        </w:rPr>
        <w:t xml:space="preserve">social and emotional </w:t>
      </w:r>
      <w:proofErr w:type="spellStart"/>
      <w:r>
        <w:rPr>
          <w:color w:val="212529"/>
          <w:sz w:val="24"/>
          <w:szCs w:val="24"/>
          <w:u w:color="212529"/>
        </w:rPr>
        <w:t>fulfilment</w:t>
      </w:r>
      <w:proofErr w:type="spellEnd"/>
      <w:r>
        <w:rPr>
          <w:color w:val="212529"/>
          <w:sz w:val="24"/>
          <w:szCs w:val="24"/>
          <w:u w:color="212529"/>
        </w:rPr>
        <w:t>.</w:t>
      </w:r>
    </w:p>
    <w:p w:rsidR="001D16C8" w:rsidRDefault="00F5451F">
      <w:pPr>
        <w:numPr>
          <w:ilvl w:val="0"/>
          <w:numId w:val="2"/>
        </w:numPr>
        <w:shd w:val="clear" w:color="auto" w:fill="FFFFFF"/>
        <w:spacing w:before="100" w:after="100"/>
        <w:rPr>
          <w:color w:val="212529"/>
          <w:sz w:val="24"/>
          <w:szCs w:val="24"/>
        </w:rPr>
      </w:pPr>
      <w:r>
        <w:rPr>
          <w:color w:val="212529"/>
          <w:sz w:val="24"/>
          <w:szCs w:val="24"/>
          <w:u w:color="212529"/>
        </w:rPr>
        <w:t>develop pupils who are kind and considerate towards one another and want to make a positive contribution to the world around them</w:t>
      </w:r>
    </w:p>
    <w:p w:rsidR="001D16C8" w:rsidRDefault="00F5451F">
      <w:pPr>
        <w:numPr>
          <w:ilvl w:val="0"/>
          <w:numId w:val="2"/>
        </w:numPr>
        <w:shd w:val="clear" w:color="auto" w:fill="FFFFFF"/>
        <w:spacing w:before="100" w:after="100"/>
        <w:rPr>
          <w:color w:val="212529"/>
          <w:sz w:val="24"/>
          <w:szCs w:val="24"/>
        </w:rPr>
      </w:pPr>
      <w:proofErr w:type="gramStart"/>
      <w:r>
        <w:rPr>
          <w:color w:val="212529"/>
          <w:sz w:val="24"/>
          <w:szCs w:val="24"/>
          <w:u w:color="212529"/>
        </w:rPr>
        <w:t>provide</w:t>
      </w:r>
      <w:proofErr w:type="gramEnd"/>
      <w:r>
        <w:rPr>
          <w:color w:val="212529"/>
          <w:sz w:val="24"/>
          <w:szCs w:val="24"/>
          <w:u w:color="212529"/>
        </w:rPr>
        <w:t xml:space="preserve"> a secure, caring Christian ethos that enables us to grow together, learn together and</w:t>
      </w:r>
      <w:r>
        <w:rPr>
          <w:color w:val="212529"/>
          <w:sz w:val="24"/>
          <w:szCs w:val="24"/>
          <w:u w:color="212529"/>
        </w:rPr>
        <w:t xml:space="preserve"> inspire each other.</w:t>
      </w:r>
    </w:p>
    <w:p w:rsidR="001D16C8" w:rsidRDefault="00F5451F">
      <w:pPr>
        <w:shd w:val="clear" w:color="auto" w:fill="FFFFFF"/>
        <w:spacing w:after="100"/>
        <w:jc w:val="center"/>
        <w:rPr>
          <w:color w:val="212529"/>
          <w:sz w:val="24"/>
          <w:szCs w:val="24"/>
          <w:u w:color="212529"/>
        </w:rPr>
      </w:pPr>
      <w:r>
        <w:rPr>
          <w:b/>
          <w:bCs/>
          <w:color w:val="212529"/>
          <w:sz w:val="24"/>
          <w:szCs w:val="24"/>
          <w:u w:color="212529"/>
        </w:rPr>
        <w:t>School Values</w:t>
      </w:r>
    </w:p>
    <w:p w:rsidR="001D16C8" w:rsidRDefault="00F5451F">
      <w:pPr>
        <w:shd w:val="clear" w:color="auto" w:fill="FFFFFF"/>
        <w:spacing w:after="100"/>
        <w:rPr>
          <w:color w:val="212529"/>
          <w:sz w:val="24"/>
          <w:szCs w:val="24"/>
          <w:u w:color="212529"/>
        </w:rPr>
      </w:pPr>
      <w:bookmarkStart w:id="2" w:name="_Hlk116036652"/>
      <w:bookmarkEnd w:id="2"/>
      <w:r>
        <w:rPr>
          <w:b/>
          <w:bCs/>
          <w:color w:val="212529"/>
          <w:sz w:val="24"/>
          <w:szCs w:val="24"/>
          <w:u w:color="212529"/>
        </w:rPr>
        <w:t>Compassion</w:t>
      </w:r>
    </w:p>
    <w:p w:rsidR="001D16C8" w:rsidRDefault="00F5451F">
      <w:pPr>
        <w:shd w:val="clear" w:color="auto" w:fill="FFFFFF"/>
        <w:spacing w:after="100"/>
        <w:rPr>
          <w:color w:val="212529"/>
          <w:sz w:val="24"/>
          <w:szCs w:val="24"/>
          <w:u w:color="212529"/>
        </w:rPr>
      </w:pPr>
      <w:r>
        <w:rPr>
          <w:i/>
          <w:iCs/>
          <w:color w:val="212529"/>
          <w:sz w:val="24"/>
          <w:szCs w:val="24"/>
          <w:u w:color="212529"/>
        </w:rPr>
        <w:t>We show compassion in the way we act with our friendships and people in our community.</w:t>
      </w:r>
    </w:p>
    <w:p w:rsidR="001D16C8" w:rsidRDefault="00F5451F">
      <w:pPr>
        <w:shd w:val="clear" w:color="auto" w:fill="FFFFFF"/>
        <w:spacing w:after="100"/>
        <w:rPr>
          <w:color w:val="212529"/>
          <w:sz w:val="24"/>
          <w:szCs w:val="24"/>
          <w:u w:color="212529"/>
        </w:rPr>
      </w:pPr>
      <w:r>
        <w:rPr>
          <w:b/>
          <w:bCs/>
          <w:color w:val="212529"/>
          <w:sz w:val="24"/>
          <w:szCs w:val="24"/>
          <w:u w:color="212529"/>
        </w:rPr>
        <w:t>Perseverance</w:t>
      </w:r>
    </w:p>
    <w:p w:rsidR="001D16C8" w:rsidRDefault="00F5451F">
      <w:pPr>
        <w:shd w:val="clear" w:color="auto" w:fill="FFFFFF"/>
        <w:spacing w:after="100"/>
        <w:rPr>
          <w:color w:val="212529"/>
          <w:sz w:val="24"/>
          <w:szCs w:val="24"/>
          <w:u w:color="212529"/>
        </w:rPr>
      </w:pPr>
      <w:r>
        <w:rPr>
          <w:i/>
          <w:iCs/>
          <w:color w:val="212529"/>
          <w:sz w:val="24"/>
          <w:szCs w:val="24"/>
          <w:u w:color="212529"/>
        </w:rPr>
        <w:t>We are determined and resilient in the face of challenges.</w:t>
      </w:r>
    </w:p>
    <w:p w:rsidR="001D16C8" w:rsidRDefault="00F5451F">
      <w:pPr>
        <w:shd w:val="clear" w:color="auto" w:fill="FFFFFF"/>
        <w:spacing w:after="100"/>
        <w:rPr>
          <w:color w:val="212529"/>
          <w:sz w:val="24"/>
          <w:szCs w:val="24"/>
          <w:u w:color="212529"/>
        </w:rPr>
      </w:pPr>
      <w:r>
        <w:rPr>
          <w:b/>
          <w:bCs/>
          <w:color w:val="212529"/>
          <w:sz w:val="24"/>
          <w:szCs w:val="24"/>
          <w:u w:color="212529"/>
        </w:rPr>
        <w:t>Hope</w:t>
      </w:r>
    </w:p>
    <w:p w:rsidR="001D16C8" w:rsidRDefault="00F5451F">
      <w:pPr>
        <w:shd w:val="clear" w:color="auto" w:fill="FFFFFF"/>
        <w:spacing w:after="100"/>
        <w:rPr>
          <w:color w:val="212529"/>
          <w:sz w:val="24"/>
          <w:szCs w:val="24"/>
          <w:u w:color="212529"/>
        </w:rPr>
      </w:pPr>
      <w:r>
        <w:rPr>
          <w:i/>
          <w:iCs/>
          <w:color w:val="212529"/>
          <w:sz w:val="24"/>
          <w:szCs w:val="24"/>
          <w:u w:color="212529"/>
        </w:rPr>
        <w:t>We share high expectations and aspirations for</w:t>
      </w:r>
      <w:r>
        <w:rPr>
          <w:i/>
          <w:iCs/>
          <w:color w:val="212529"/>
          <w:sz w:val="24"/>
          <w:szCs w:val="24"/>
          <w:u w:color="212529"/>
        </w:rPr>
        <w:t xml:space="preserve"> everyone in our school and seek to make a positive difference to the world.</w:t>
      </w:r>
    </w:p>
    <w:p w:rsidR="001D16C8" w:rsidRDefault="00F5451F">
      <w:pPr>
        <w:shd w:val="clear" w:color="auto" w:fill="FFFFFF"/>
        <w:spacing w:after="100"/>
        <w:rPr>
          <w:color w:val="212529"/>
          <w:sz w:val="24"/>
          <w:szCs w:val="24"/>
          <w:u w:color="212529"/>
        </w:rPr>
      </w:pPr>
      <w:r>
        <w:rPr>
          <w:b/>
          <w:bCs/>
          <w:color w:val="212529"/>
          <w:sz w:val="24"/>
          <w:szCs w:val="24"/>
          <w:u w:color="212529"/>
        </w:rPr>
        <w:t>Respect</w:t>
      </w:r>
    </w:p>
    <w:p w:rsidR="001D16C8" w:rsidRDefault="00F5451F">
      <w:pPr>
        <w:shd w:val="clear" w:color="auto" w:fill="FFFFFF"/>
        <w:spacing w:after="100"/>
        <w:rPr>
          <w:color w:val="212529"/>
          <w:sz w:val="24"/>
          <w:szCs w:val="24"/>
          <w:u w:color="212529"/>
        </w:rPr>
      </w:pPr>
      <w:r>
        <w:rPr>
          <w:i/>
          <w:iCs/>
          <w:color w:val="212529"/>
          <w:sz w:val="24"/>
          <w:szCs w:val="24"/>
          <w:u w:color="212529"/>
        </w:rPr>
        <w:t>We are respectful in the way we interact with each other and the world around us.</w:t>
      </w:r>
    </w:p>
    <w:p w:rsidR="001D16C8" w:rsidRDefault="00F5451F">
      <w:pPr>
        <w:shd w:val="clear" w:color="auto" w:fill="FFFFFF"/>
        <w:spacing w:after="100"/>
        <w:rPr>
          <w:color w:val="212529"/>
          <w:sz w:val="24"/>
          <w:szCs w:val="24"/>
          <w:u w:color="212529"/>
        </w:rPr>
      </w:pPr>
      <w:r>
        <w:rPr>
          <w:b/>
          <w:bCs/>
          <w:color w:val="212529"/>
          <w:sz w:val="24"/>
          <w:szCs w:val="24"/>
          <w:u w:color="212529"/>
        </w:rPr>
        <w:t>Joy</w:t>
      </w:r>
    </w:p>
    <w:p w:rsidR="001D16C8" w:rsidRDefault="00F5451F">
      <w:pPr>
        <w:shd w:val="clear" w:color="auto" w:fill="FFFFFF"/>
        <w:spacing w:after="100"/>
        <w:rPr>
          <w:color w:val="212529"/>
          <w:sz w:val="24"/>
          <w:szCs w:val="24"/>
          <w:u w:color="212529"/>
        </w:rPr>
      </w:pPr>
      <w:r>
        <w:rPr>
          <w:i/>
          <w:iCs/>
          <w:color w:val="212529"/>
          <w:sz w:val="24"/>
          <w:szCs w:val="24"/>
          <w:u w:color="212529"/>
        </w:rPr>
        <w:t>We celebrate the joy of each other’s achievements and bring joy to the world.</w:t>
      </w:r>
    </w:p>
    <w:p w:rsidR="001D16C8" w:rsidRDefault="00F5451F">
      <w:pPr>
        <w:pStyle w:val="Heading1"/>
        <w:jc w:val="left"/>
      </w:pPr>
      <w:r>
        <w:t xml:space="preserve">       </w:t>
      </w:r>
      <w:r>
        <w:t xml:space="preserve">                   </w:t>
      </w:r>
    </w:p>
    <w:p w:rsidR="001D16C8" w:rsidRDefault="00F5451F">
      <w:pPr>
        <w:pStyle w:val="Heading2"/>
      </w:pPr>
      <w:r>
        <w:t>1</w:t>
      </w:r>
      <w:r>
        <w:tab/>
        <w:t xml:space="preserve">Introduction </w:t>
      </w:r>
    </w:p>
    <w:p w:rsidR="001D16C8" w:rsidRDefault="00F5451F">
      <w:pPr>
        <w:pStyle w:val="BodyText"/>
      </w:pPr>
      <w:r>
        <w:t>1.1</w:t>
      </w:r>
      <w:r>
        <w:tab/>
      </w:r>
      <w:r>
        <w:t xml:space="preserve"> We are committed to giving all of our children every opportunity to achieve the highest of standards. We do this by taking account of pupils' varied life experiences and needs. We offer a broad and balanced curriculum and have high expectations for all ch</w:t>
      </w:r>
      <w:r>
        <w:t>ildren. The achievements, attitudes and well-being of all our children matter. This policy helps to ensure that this school promotes the individuality of all our children, irrespective of race, religion, ethnicity, attainment, age, disability, gender or ba</w:t>
      </w:r>
      <w:r>
        <w:t xml:space="preserve">ckground. </w:t>
      </w:r>
    </w:p>
    <w:p w:rsidR="001D16C8" w:rsidRDefault="00F5451F">
      <w:pPr>
        <w:pStyle w:val="Heading2"/>
      </w:pPr>
      <w:r>
        <w:t>2</w:t>
      </w:r>
      <w:r>
        <w:tab/>
        <w:t>Aims and objectives</w:t>
      </w:r>
    </w:p>
    <w:p w:rsidR="001D16C8" w:rsidRDefault="00F5451F">
      <w:pPr>
        <w:pStyle w:val="BodyText"/>
      </w:pPr>
      <w:proofErr w:type="gramStart"/>
      <w:r>
        <w:t xml:space="preserve">2.1 </w:t>
      </w:r>
      <w:r>
        <w:tab/>
        <w:t>Salway Ash CE VA Primary school</w:t>
      </w:r>
      <w:proofErr w:type="gramEnd"/>
      <w:r>
        <w:t xml:space="preserve"> is an inclusive school. We actively seek to remove the barriers to learning and participation that can hinder or exclude individual pupils, or groups of pupils. This means that equality </w:t>
      </w:r>
      <w:r>
        <w:t xml:space="preserve">of opportunity must be a reality for our children. We make this a reality through the attention that we pay to the different groups of children who may be within our school community and how this is presented: </w:t>
      </w:r>
    </w:p>
    <w:p w:rsidR="001D16C8" w:rsidRDefault="00F5451F">
      <w:pPr>
        <w:pStyle w:val="ListBullet4"/>
        <w:numPr>
          <w:ilvl w:val="0"/>
          <w:numId w:val="4"/>
        </w:numPr>
      </w:pPr>
      <w:r>
        <w:t>Girls and boys</w:t>
      </w:r>
    </w:p>
    <w:p w:rsidR="001D16C8" w:rsidRDefault="00F5451F">
      <w:pPr>
        <w:pStyle w:val="ListBullet4"/>
        <w:numPr>
          <w:ilvl w:val="0"/>
          <w:numId w:val="4"/>
        </w:numPr>
      </w:pPr>
      <w:r>
        <w:t>Children with special educatio</w:t>
      </w:r>
      <w:r>
        <w:t>nal needs</w:t>
      </w:r>
    </w:p>
    <w:p w:rsidR="001D16C8" w:rsidRDefault="00F5451F">
      <w:pPr>
        <w:pStyle w:val="ListBullet4"/>
        <w:numPr>
          <w:ilvl w:val="0"/>
          <w:numId w:val="4"/>
        </w:numPr>
      </w:pPr>
      <w:r>
        <w:t>Children with medical needs</w:t>
      </w:r>
    </w:p>
    <w:p w:rsidR="001D16C8" w:rsidRDefault="00F5451F">
      <w:pPr>
        <w:pStyle w:val="ListBullet4"/>
        <w:numPr>
          <w:ilvl w:val="0"/>
          <w:numId w:val="4"/>
        </w:numPr>
      </w:pPr>
      <w:r>
        <w:t xml:space="preserve">Children who are </w:t>
      </w:r>
      <w:proofErr w:type="spellStart"/>
      <w:r>
        <w:t>neurodiverse</w:t>
      </w:r>
      <w:proofErr w:type="spellEnd"/>
      <w:r>
        <w:t xml:space="preserve"> </w:t>
      </w:r>
    </w:p>
    <w:p w:rsidR="001D16C8" w:rsidRDefault="00F5451F">
      <w:pPr>
        <w:pStyle w:val="ListBullet4"/>
        <w:numPr>
          <w:ilvl w:val="0"/>
          <w:numId w:val="4"/>
        </w:numPr>
      </w:pPr>
      <w:r>
        <w:lastRenderedPageBreak/>
        <w:t>Children with physical disabilities</w:t>
      </w:r>
    </w:p>
    <w:p w:rsidR="001D16C8" w:rsidRDefault="00F5451F">
      <w:pPr>
        <w:pStyle w:val="ListBullet4"/>
        <w:numPr>
          <w:ilvl w:val="0"/>
          <w:numId w:val="4"/>
        </w:numPr>
      </w:pPr>
      <w:r>
        <w:t>High potential learners</w:t>
      </w:r>
    </w:p>
    <w:p w:rsidR="001D16C8" w:rsidRDefault="00F5451F">
      <w:pPr>
        <w:pStyle w:val="ListBullet4"/>
        <w:numPr>
          <w:ilvl w:val="0"/>
          <w:numId w:val="4"/>
        </w:numPr>
      </w:pPr>
      <w:r>
        <w:t>Children for whom English is an additional language (EAL)</w:t>
      </w:r>
    </w:p>
    <w:p w:rsidR="001D16C8" w:rsidRDefault="00F5451F">
      <w:pPr>
        <w:pStyle w:val="ListBullet4"/>
        <w:numPr>
          <w:ilvl w:val="0"/>
          <w:numId w:val="4"/>
        </w:numPr>
      </w:pPr>
      <w:r>
        <w:t>Minority ethnic and faith groups</w:t>
      </w:r>
    </w:p>
    <w:p w:rsidR="001D16C8" w:rsidRDefault="00F5451F">
      <w:pPr>
        <w:pStyle w:val="ListBullet4"/>
        <w:numPr>
          <w:ilvl w:val="0"/>
          <w:numId w:val="4"/>
        </w:numPr>
      </w:pPr>
      <w:r>
        <w:t>Pupil Premium children, including di</w:t>
      </w:r>
      <w:r>
        <w:t>sadvantaged (Free School Meals &amp; Ever 6)</w:t>
      </w:r>
    </w:p>
    <w:p w:rsidR="001D16C8" w:rsidRDefault="00F5451F">
      <w:pPr>
        <w:pStyle w:val="ListBullet4"/>
        <w:numPr>
          <w:ilvl w:val="0"/>
          <w:numId w:val="4"/>
        </w:numPr>
      </w:pPr>
      <w:r>
        <w:t>C</w:t>
      </w:r>
      <w:r>
        <w:t>hildren from mobile or displaced backgrounds</w:t>
      </w:r>
    </w:p>
    <w:p w:rsidR="001D16C8" w:rsidRDefault="00F5451F">
      <w:pPr>
        <w:pStyle w:val="ListBullet4"/>
        <w:numPr>
          <w:ilvl w:val="0"/>
          <w:numId w:val="4"/>
        </w:numPr>
      </w:pPr>
      <w:r>
        <w:t>Children ‘looked after’ by the local authority (fostered or in care)</w:t>
      </w:r>
    </w:p>
    <w:p w:rsidR="001D16C8" w:rsidRDefault="00F5451F">
      <w:pPr>
        <w:pStyle w:val="ListBullet4"/>
        <w:numPr>
          <w:ilvl w:val="0"/>
          <w:numId w:val="4"/>
        </w:numPr>
      </w:pPr>
      <w:r>
        <w:t>Children whose families are being monitored and supported by the Social Services</w:t>
      </w:r>
    </w:p>
    <w:p w:rsidR="001D16C8" w:rsidRDefault="00F5451F">
      <w:pPr>
        <w:pStyle w:val="ListBullet4"/>
        <w:numPr>
          <w:ilvl w:val="0"/>
          <w:numId w:val="4"/>
        </w:numPr>
      </w:pPr>
      <w:r>
        <w:t xml:space="preserve">Other children, </w:t>
      </w:r>
      <w:r>
        <w:t xml:space="preserve">such as sick children, young </w:t>
      </w:r>
      <w:proofErr w:type="spellStart"/>
      <w:r>
        <w:t>carers</w:t>
      </w:r>
      <w:proofErr w:type="spellEnd"/>
      <w:r>
        <w:t xml:space="preserve"> and those from families under stress</w:t>
      </w:r>
    </w:p>
    <w:p w:rsidR="001D16C8" w:rsidRDefault="00F5451F">
      <w:pPr>
        <w:pStyle w:val="ListBullet4"/>
        <w:numPr>
          <w:ilvl w:val="0"/>
          <w:numId w:val="4"/>
        </w:numPr>
      </w:pPr>
      <w:r>
        <w:t>Children who are at risk of disaffection or exclusion</w:t>
      </w:r>
    </w:p>
    <w:p w:rsidR="001D16C8" w:rsidRDefault="00F5451F">
      <w:pPr>
        <w:pStyle w:val="ListBullet4"/>
        <w:numPr>
          <w:ilvl w:val="0"/>
          <w:numId w:val="4"/>
        </w:numPr>
      </w:pPr>
      <w:r>
        <w:t>Children who have moved house/school frequently</w:t>
      </w:r>
    </w:p>
    <w:p w:rsidR="001D16C8" w:rsidRDefault="001D16C8">
      <w:pPr>
        <w:pStyle w:val="ListBullet4"/>
        <w:ind w:left="849"/>
      </w:pPr>
    </w:p>
    <w:p w:rsidR="001D16C8" w:rsidRDefault="001D16C8">
      <w:pPr>
        <w:pStyle w:val="ListBullet4"/>
        <w:ind w:left="849"/>
      </w:pPr>
    </w:p>
    <w:p w:rsidR="001D16C8" w:rsidRDefault="00F5451F">
      <w:pPr>
        <w:pStyle w:val="BodyText"/>
      </w:pPr>
      <w:r>
        <w:t>2.2</w:t>
      </w:r>
      <w:r>
        <w:tab/>
        <w:t>The National Curriculum is our starting point for planning a curriculum tha</w:t>
      </w:r>
      <w:r>
        <w:t>t meets the specific needs of individuals and groups of children. We meet these needs through:</w:t>
      </w:r>
    </w:p>
    <w:p w:rsidR="001D16C8" w:rsidRDefault="00F5451F">
      <w:pPr>
        <w:pStyle w:val="ListBullet4"/>
        <w:numPr>
          <w:ilvl w:val="0"/>
          <w:numId w:val="4"/>
        </w:numPr>
      </w:pPr>
      <w:r>
        <w:t>quality first teaching including differentiation, within the classroom or other whole class learning environment</w:t>
      </w:r>
    </w:p>
    <w:p w:rsidR="001D16C8" w:rsidRDefault="00F5451F">
      <w:pPr>
        <w:pStyle w:val="ListBullet4"/>
        <w:numPr>
          <w:ilvl w:val="0"/>
          <w:numId w:val="4"/>
        </w:numPr>
      </w:pPr>
      <w:r>
        <w:t>providing suitable learning targets and challeng</w:t>
      </w:r>
      <w:r>
        <w:t>es to promote progress</w:t>
      </w:r>
    </w:p>
    <w:p w:rsidR="001D16C8" w:rsidRDefault="00F5451F">
      <w:pPr>
        <w:pStyle w:val="ListBullet4"/>
        <w:numPr>
          <w:ilvl w:val="0"/>
          <w:numId w:val="4"/>
        </w:numPr>
      </w:pPr>
      <w:r>
        <w:t>responding to children's diverse learning needs</w:t>
      </w:r>
    </w:p>
    <w:p w:rsidR="001D16C8" w:rsidRDefault="00F5451F">
      <w:pPr>
        <w:pStyle w:val="ListBullet4"/>
        <w:numPr>
          <w:ilvl w:val="0"/>
          <w:numId w:val="4"/>
        </w:numPr>
      </w:pPr>
      <w:r>
        <w:t>using a range of teaching techniques to accommodate different learning styles/needs</w:t>
      </w:r>
    </w:p>
    <w:p w:rsidR="001D16C8" w:rsidRDefault="00F5451F">
      <w:pPr>
        <w:pStyle w:val="ListBullet4"/>
        <w:numPr>
          <w:ilvl w:val="0"/>
          <w:numId w:val="4"/>
        </w:numPr>
      </w:pPr>
      <w:r>
        <w:t>overcoming potential barriers to learning for all pupils</w:t>
      </w:r>
    </w:p>
    <w:p w:rsidR="001D16C8" w:rsidRDefault="00F5451F">
      <w:pPr>
        <w:pStyle w:val="ListBullet4"/>
        <w:numPr>
          <w:ilvl w:val="0"/>
          <w:numId w:val="4"/>
        </w:numPr>
      </w:pPr>
      <w:r>
        <w:t>ensuring specialist advice is sought to meet</w:t>
      </w:r>
      <w:r>
        <w:t xml:space="preserve"> the needs of individuals or groups of children, such as speech and language therapy</w:t>
      </w:r>
    </w:p>
    <w:p w:rsidR="001D16C8" w:rsidRDefault="001D16C8">
      <w:pPr>
        <w:pStyle w:val="ListBullet4"/>
        <w:ind w:left="1209"/>
      </w:pPr>
    </w:p>
    <w:p w:rsidR="001D16C8" w:rsidRDefault="001D16C8">
      <w:pPr>
        <w:pStyle w:val="ListBullet4"/>
        <w:ind w:left="849"/>
      </w:pPr>
    </w:p>
    <w:p w:rsidR="001D16C8" w:rsidRDefault="00F5451F">
      <w:pPr>
        <w:pStyle w:val="BodyText"/>
      </w:pPr>
      <w:r>
        <w:t>2.3</w:t>
      </w:r>
      <w:r>
        <w:tab/>
        <w:t>We achieve educational inclusion by continually reviewing what we do, through asking ourselves these key questions:</w:t>
      </w:r>
    </w:p>
    <w:p w:rsidR="001D16C8" w:rsidRDefault="00F5451F">
      <w:pPr>
        <w:pStyle w:val="ListBullet4"/>
        <w:numPr>
          <w:ilvl w:val="0"/>
          <w:numId w:val="4"/>
        </w:numPr>
      </w:pPr>
      <w:r>
        <w:t>Are all our children achieving their best?</w:t>
      </w:r>
    </w:p>
    <w:p w:rsidR="001D16C8" w:rsidRDefault="00F5451F">
      <w:pPr>
        <w:pStyle w:val="ListBullet4"/>
        <w:numPr>
          <w:ilvl w:val="0"/>
          <w:numId w:val="4"/>
        </w:numPr>
      </w:pPr>
      <w:r>
        <w:t>What d</w:t>
      </w:r>
      <w:r>
        <w:t>ifferences are evident in the achievement of various groups of children?</w:t>
      </w:r>
    </w:p>
    <w:p w:rsidR="001D16C8" w:rsidRDefault="00F5451F">
      <w:pPr>
        <w:pStyle w:val="ListBullet4"/>
        <w:numPr>
          <w:ilvl w:val="0"/>
          <w:numId w:val="4"/>
        </w:numPr>
      </w:pPr>
      <w:r>
        <w:t>Have we provided effective interventions for those children who may be underperforming?</w:t>
      </w:r>
    </w:p>
    <w:p w:rsidR="001D16C8" w:rsidRDefault="00F5451F">
      <w:pPr>
        <w:pStyle w:val="ListBullet4"/>
        <w:numPr>
          <w:ilvl w:val="0"/>
          <w:numId w:val="4"/>
        </w:numPr>
      </w:pPr>
      <w:r>
        <w:t>Are our actions effective?</w:t>
      </w:r>
    </w:p>
    <w:p w:rsidR="001D16C8" w:rsidRDefault="00F5451F">
      <w:pPr>
        <w:pStyle w:val="ListBullet4"/>
        <w:numPr>
          <w:ilvl w:val="0"/>
          <w:numId w:val="4"/>
        </w:numPr>
      </w:pPr>
      <w:r>
        <w:t>Are we successful in promoting racial harmony and the integration of</w:t>
      </w:r>
      <w:r>
        <w:t xml:space="preserve"> minority groups, thereby preparing pupils to live in a diverse society? </w:t>
      </w:r>
    </w:p>
    <w:p w:rsidR="001D16C8" w:rsidRDefault="001D16C8">
      <w:pPr>
        <w:pStyle w:val="ListBullet4"/>
        <w:ind w:left="849"/>
      </w:pPr>
    </w:p>
    <w:p w:rsidR="001D16C8" w:rsidRDefault="00F5451F">
      <w:pPr>
        <w:pStyle w:val="ListBullet4"/>
        <w:ind w:left="720"/>
      </w:pPr>
      <w:r>
        <w:t xml:space="preserve">The data we gather annually, using the school’s system of progress trackers, help us to review our children’s progress against these criteria and where </w:t>
      </w:r>
      <w:proofErr w:type="gramStart"/>
      <w:r>
        <w:t>needed the school will</w:t>
      </w:r>
      <w:proofErr w:type="gramEnd"/>
      <w:r>
        <w:t xml:space="preserve"> interv</w:t>
      </w:r>
      <w:r>
        <w:t>ene through additional support.  We also monitor children’s access to extra-curricular activities through the use of extensive provision and class inclusion maps. For example those who struggle to complete homework at home are identified for homework club.</w:t>
      </w:r>
    </w:p>
    <w:p w:rsidR="001D16C8" w:rsidRDefault="001D16C8">
      <w:pPr>
        <w:pStyle w:val="ListBullet4"/>
        <w:ind w:left="849"/>
      </w:pPr>
    </w:p>
    <w:p w:rsidR="001D16C8" w:rsidRDefault="00F5451F">
      <w:pPr>
        <w:pStyle w:val="Heading2"/>
      </w:pPr>
      <w:r>
        <w:t>3</w:t>
      </w:r>
      <w:r>
        <w:tab/>
        <w:t xml:space="preserve">Teaching and learning  </w:t>
      </w:r>
    </w:p>
    <w:p w:rsidR="001D16C8" w:rsidRDefault="00F5451F">
      <w:pPr>
        <w:pStyle w:val="BodyText"/>
      </w:pPr>
      <w:r>
        <w:t>3.1</w:t>
      </w:r>
      <w:r>
        <w:tab/>
        <w:t xml:space="preserve">We aim to give all our children the opportunity to succeed and reach the highest level of personal achievement. Through summative assessment coupled with teacher assessment. </w:t>
      </w:r>
      <w:proofErr w:type="gramStart"/>
      <w:r>
        <w:t>we</w:t>
      </w:r>
      <w:proofErr w:type="gramEnd"/>
      <w:r>
        <w:t xml:space="preserve"> </w:t>
      </w:r>
      <w:proofErr w:type="spellStart"/>
      <w:r>
        <w:t>analyse</w:t>
      </w:r>
      <w:proofErr w:type="spellEnd"/>
      <w:r>
        <w:t xml:space="preserve"> the attainment of different groups of p</w:t>
      </w:r>
      <w:r>
        <w:t>upils to ensure that all children are reaching their potential. We also make ongoing assessments of each child's progress. This enables teachers to plan from where the children are in their learning, taking into account the abilities of all children and sc</w:t>
      </w:r>
      <w:r>
        <w:t xml:space="preserve">affolding work accordingly. A child’s particular learning style may also be taken into account, sometimes using advice from support services. </w:t>
      </w:r>
    </w:p>
    <w:p w:rsidR="001D16C8" w:rsidRDefault="00F5451F">
      <w:pPr>
        <w:pStyle w:val="BodyText"/>
      </w:pPr>
      <w:r>
        <w:lastRenderedPageBreak/>
        <w:t>3.2</w:t>
      </w:r>
      <w:r>
        <w:tab/>
        <w:t xml:space="preserve">When the attainment of a child falls significantly </w:t>
      </w:r>
      <w:r>
        <w:rPr>
          <w:u w:val="single"/>
        </w:rPr>
        <w:t>below or above</w:t>
      </w:r>
      <w:r>
        <w:t xml:space="preserve"> the expected standard for their year group, teachers help the child to succeed by planning work that is in line with that child's individual needs, and providing appropriate support. Where the attainment of a child significantly exceeds the expected level</w:t>
      </w:r>
      <w:r>
        <w:t xml:space="preserve"> of attainment, teachers use materials that extend the depth of understanding within the area for which the child shows particular aptitude.</w:t>
      </w:r>
    </w:p>
    <w:p w:rsidR="001D16C8" w:rsidRDefault="00F5451F">
      <w:pPr>
        <w:pStyle w:val="BodyText"/>
      </w:pPr>
      <w:r>
        <w:t>3.3</w:t>
      </w:r>
      <w:r>
        <w:tab/>
        <w:t>Teachers are familiar with the equal opportunities legislation covering race, ethnicity, gender and disability.</w:t>
      </w:r>
    </w:p>
    <w:p w:rsidR="001D16C8" w:rsidRDefault="00F5451F">
      <w:pPr>
        <w:pStyle w:val="BodyText"/>
        <w:numPr>
          <w:ilvl w:val="2"/>
          <w:numId w:val="6"/>
        </w:numPr>
      </w:pPr>
      <w:r>
        <w:t>Teachers support all children to:</w:t>
      </w:r>
    </w:p>
    <w:p w:rsidR="001D16C8" w:rsidRDefault="00F5451F">
      <w:pPr>
        <w:pStyle w:val="ListBullet4"/>
        <w:numPr>
          <w:ilvl w:val="0"/>
          <w:numId w:val="4"/>
        </w:numPr>
      </w:pPr>
      <w:r>
        <w:t>feel secure and know that their contributions are valued</w:t>
      </w:r>
    </w:p>
    <w:p w:rsidR="001D16C8" w:rsidRDefault="00F5451F">
      <w:pPr>
        <w:pStyle w:val="ListBullet4"/>
        <w:numPr>
          <w:ilvl w:val="0"/>
          <w:numId w:val="4"/>
        </w:numPr>
      </w:pPr>
      <w:r>
        <w:t>appreciate and value the differences they see in others</w:t>
      </w:r>
    </w:p>
    <w:p w:rsidR="001D16C8" w:rsidRDefault="00F5451F">
      <w:pPr>
        <w:pStyle w:val="ListBullet4"/>
        <w:numPr>
          <w:ilvl w:val="0"/>
          <w:numId w:val="4"/>
        </w:numPr>
      </w:pPr>
      <w:r>
        <w:t>take responsibility for their own actions</w:t>
      </w:r>
    </w:p>
    <w:p w:rsidR="001D16C8" w:rsidRDefault="00F5451F">
      <w:pPr>
        <w:pStyle w:val="ListBullet4"/>
        <w:numPr>
          <w:ilvl w:val="0"/>
          <w:numId w:val="4"/>
        </w:numPr>
      </w:pPr>
      <w:r>
        <w:t>are taught in ways that allow them all to experience success</w:t>
      </w:r>
    </w:p>
    <w:p w:rsidR="001D16C8" w:rsidRDefault="00F5451F">
      <w:pPr>
        <w:pStyle w:val="ListBullet4"/>
        <w:numPr>
          <w:ilvl w:val="0"/>
          <w:numId w:val="4"/>
        </w:numPr>
      </w:pPr>
      <w:r>
        <w:t>use m</w:t>
      </w:r>
      <w:r>
        <w:t>aterials that reflect a range of social and cultural backgrounds, without stereotyping</w:t>
      </w:r>
    </w:p>
    <w:p w:rsidR="001D16C8" w:rsidRDefault="00F5451F">
      <w:pPr>
        <w:pStyle w:val="ListBullet4"/>
        <w:numPr>
          <w:ilvl w:val="0"/>
          <w:numId w:val="4"/>
        </w:numPr>
      </w:pPr>
      <w:r>
        <w:t>have a common curriculum experience that allows for a range of different learning styles</w:t>
      </w:r>
    </w:p>
    <w:p w:rsidR="001D16C8" w:rsidRDefault="00F5451F">
      <w:pPr>
        <w:pStyle w:val="ListBullet4"/>
        <w:numPr>
          <w:ilvl w:val="0"/>
          <w:numId w:val="4"/>
        </w:numPr>
      </w:pPr>
      <w:r>
        <w:t>have challenging targets that enable them to succeed</w:t>
      </w:r>
    </w:p>
    <w:p w:rsidR="001D16C8" w:rsidRDefault="00F5451F">
      <w:pPr>
        <w:pStyle w:val="ListBullet4"/>
        <w:numPr>
          <w:ilvl w:val="0"/>
          <w:numId w:val="4"/>
        </w:numPr>
      </w:pPr>
      <w:r>
        <w:t xml:space="preserve">participate fully, </w:t>
      </w:r>
      <w:r>
        <w:t>regardless of disabilities or medical needs</w:t>
      </w:r>
    </w:p>
    <w:p w:rsidR="001D16C8" w:rsidRDefault="00F5451F">
      <w:pPr>
        <w:pStyle w:val="Heading2"/>
      </w:pPr>
      <w:r>
        <w:t>4</w:t>
      </w:r>
      <w:r>
        <w:tab/>
        <w:t>Children with disabilities</w:t>
      </w:r>
    </w:p>
    <w:p w:rsidR="001D16C8" w:rsidRDefault="00F5451F">
      <w:pPr>
        <w:pStyle w:val="BodyText"/>
      </w:pPr>
      <w:r>
        <w:t xml:space="preserve">4.1 </w:t>
      </w:r>
      <w:r>
        <w:tab/>
        <w:t>Some children in our school may have disabilities or medical needs. We are committed to meeting the needs of these children, as we are to meeting the needs of all groups of child</w:t>
      </w:r>
      <w:r>
        <w:t>ren within our school. The school fully meets the requirements of the amended Disability Discrimination Act that came into effect in September 2010. All reasonable steps are taken to ensure that these children are not placed at a disadvantage compared with</w:t>
      </w:r>
      <w:r>
        <w:t xml:space="preserve"> non-disabled children. </w:t>
      </w:r>
    </w:p>
    <w:p w:rsidR="001D16C8" w:rsidRDefault="00F5451F">
      <w:pPr>
        <w:pStyle w:val="BodyText"/>
      </w:pPr>
      <w:r>
        <w:t>4.2</w:t>
      </w:r>
      <w:r>
        <w:tab/>
        <w:t>The school is committed to providing an environment that allows disabled children full access to all areas of learning. All our classroom entrances are wide enough for wheelchair access, and the designated points of entry for o</w:t>
      </w:r>
      <w:r>
        <w:t>ur school also allow wheelchair access. Our Accessibility Plan identifies how disabled pupils can take advantage of all that our school has to offer.</w:t>
      </w:r>
    </w:p>
    <w:p w:rsidR="001D16C8" w:rsidRDefault="00F5451F">
      <w:pPr>
        <w:pStyle w:val="BodyText"/>
      </w:pPr>
      <w:r>
        <w:t>4.3</w:t>
      </w:r>
      <w:r>
        <w:tab/>
        <w:t xml:space="preserve">Teachers modify teaching and learning expectations as appropriate for children with disabilities. For </w:t>
      </w:r>
      <w:r>
        <w:t>example, they may give additional time to complete certain activities, or they may modify teaching materials. In their planning, teachers ensure that they give children with disabilities the opportunity to develop skills in practical aspects of the curricu</w:t>
      </w:r>
      <w:r>
        <w:t>lum.</w:t>
      </w:r>
    </w:p>
    <w:p w:rsidR="001D16C8" w:rsidRDefault="00F5451F">
      <w:pPr>
        <w:pStyle w:val="BodyText"/>
      </w:pPr>
      <w:r>
        <w:t>4.4</w:t>
      </w:r>
      <w:r>
        <w:tab/>
        <w:t>Teachers ensure that the work undertaken by children with a disability:</w:t>
      </w:r>
    </w:p>
    <w:p w:rsidR="001D16C8" w:rsidRDefault="00F5451F">
      <w:pPr>
        <w:pStyle w:val="ListBullet4"/>
        <w:numPr>
          <w:ilvl w:val="0"/>
          <w:numId w:val="4"/>
        </w:numPr>
      </w:pPr>
      <w:r>
        <w:t>takes account of their pace of learning and the equipment they use</w:t>
      </w:r>
    </w:p>
    <w:p w:rsidR="001D16C8" w:rsidRDefault="00F5451F">
      <w:pPr>
        <w:pStyle w:val="ListBullet4"/>
        <w:numPr>
          <w:ilvl w:val="0"/>
          <w:numId w:val="4"/>
        </w:numPr>
      </w:pPr>
      <w:r>
        <w:t>takes account of the effort and concentration needed in written/oral work, or when using specialist equipmen</w:t>
      </w:r>
      <w:r>
        <w:t>t e.g. vision aids</w:t>
      </w:r>
    </w:p>
    <w:p w:rsidR="001D16C8" w:rsidRDefault="00F5451F">
      <w:pPr>
        <w:pStyle w:val="ListBullet4"/>
        <w:numPr>
          <w:ilvl w:val="0"/>
          <w:numId w:val="4"/>
        </w:numPr>
      </w:pPr>
      <w:r>
        <w:t>is adapted or offers alternative activities in those subjects in which children are unable to manipulate tools or equipment, or use certain types of materials</w:t>
      </w:r>
    </w:p>
    <w:p w:rsidR="001D16C8" w:rsidRDefault="00F5451F">
      <w:pPr>
        <w:pStyle w:val="ListBullet4"/>
        <w:numPr>
          <w:ilvl w:val="0"/>
          <w:numId w:val="4"/>
        </w:numPr>
      </w:pPr>
      <w:r>
        <w:t>allows opportunities for them to take part in educational visits and other act</w:t>
      </w:r>
      <w:r>
        <w:t>ivities linked to their studies</w:t>
      </w:r>
    </w:p>
    <w:p w:rsidR="001D16C8" w:rsidRDefault="00F5451F">
      <w:pPr>
        <w:pStyle w:val="ListBullet4"/>
        <w:numPr>
          <w:ilvl w:val="0"/>
          <w:numId w:val="4"/>
        </w:numPr>
      </w:pPr>
      <w:r>
        <w:t>implement assessment techniques that suit individual needs and abilities</w:t>
      </w:r>
    </w:p>
    <w:p w:rsidR="001D16C8" w:rsidRDefault="00F5451F">
      <w:pPr>
        <w:pStyle w:val="Heading2"/>
      </w:pPr>
      <w:r>
        <w:lastRenderedPageBreak/>
        <w:t>5</w:t>
      </w:r>
      <w:r>
        <w:tab/>
        <w:t>Disapplication and modification</w:t>
      </w:r>
    </w:p>
    <w:p w:rsidR="001D16C8" w:rsidRDefault="00F5451F">
      <w:pPr>
        <w:pStyle w:val="BodyText"/>
      </w:pPr>
      <w:r>
        <w:t>5.1</w:t>
      </w:r>
      <w:r>
        <w:tab/>
        <w:t>The school can, where necessary, modify the National Curriculum and its assessment arrangements. Our school polic</w:t>
      </w:r>
      <w:r>
        <w:t>y is to do this only in exceptional circumstances. The school makes every effort to meet the learning needs of all its children, without recourse to disapplication or modification. We achieve this through greater differentiation of the child's work, or thr</w:t>
      </w:r>
      <w:r>
        <w:t>ough the provision of additional learning resources. When necessary, we also support learning through appropriate external specialists. In such cases, teachers work closely with these specialists to support the child.</w:t>
      </w:r>
    </w:p>
    <w:p w:rsidR="001D16C8" w:rsidRDefault="00F5451F">
      <w:pPr>
        <w:pStyle w:val="BodyText"/>
      </w:pPr>
      <w:r>
        <w:t>5.2</w:t>
      </w:r>
      <w:r>
        <w:tab/>
        <w:t>In exceptional circumstances, we m</w:t>
      </w:r>
      <w:r>
        <w:t>ay decide that modification, disapplication or rarely ‘back-</w:t>
      </w:r>
      <w:proofErr w:type="spellStart"/>
      <w:r>
        <w:t>yearing</w:t>
      </w:r>
      <w:proofErr w:type="spellEnd"/>
      <w:r>
        <w:t>’ is the correct procedure to follow. We would only do this after detailed consultation with parents and the LA. The school's governor with responsibility for special educational needs woul</w:t>
      </w:r>
      <w:r>
        <w:t>d also be involved in this process. We would ensure that every effort had been made to provide the necessary support from within the school's resources before considering such action.</w:t>
      </w:r>
    </w:p>
    <w:p w:rsidR="001D16C8" w:rsidRDefault="00F5451F">
      <w:pPr>
        <w:pStyle w:val="BodyText"/>
      </w:pPr>
      <w:r>
        <w:t>5.3</w:t>
      </w:r>
      <w:r>
        <w:tab/>
        <w:t>Should we need to go ahead with modification or disapplication, we w</w:t>
      </w:r>
      <w:r>
        <w:t>ould do so through:</w:t>
      </w:r>
    </w:p>
    <w:p w:rsidR="001D16C8" w:rsidRDefault="00F5451F">
      <w:pPr>
        <w:pStyle w:val="ListBullet4"/>
        <w:numPr>
          <w:ilvl w:val="0"/>
          <w:numId w:val="4"/>
        </w:numPr>
      </w:pPr>
      <w:r>
        <w:t>Section 364 of the Education Act 1996. This allows modification or disapplication of the National Curriculum, or elements of it, through an EHCP.</w:t>
      </w:r>
    </w:p>
    <w:p w:rsidR="001D16C8" w:rsidRDefault="00F5451F">
      <w:pPr>
        <w:pStyle w:val="ListBullet4"/>
        <w:numPr>
          <w:ilvl w:val="0"/>
          <w:numId w:val="4"/>
        </w:numPr>
      </w:pPr>
      <w:r>
        <w:t>Section 365 of the Education Act 1996. This allows the temporary modification or disapplic</w:t>
      </w:r>
      <w:r>
        <w:t>ation of the National Curriculum, or elements of it</w:t>
      </w:r>
    </w:p>
    <w:p w:rsidR="001D16C8" w:rsidRDefault="00F5451F">
      <w:pPr>
        <w:pStyle w:val="ListBullet4"/>
        <w:numPr>
          <w:ilvl w:val="0"/>
          <w:numId w:val="4"/>
        </w:numPr>
      </w:pPr>
      <w:proofErr w:type="gramStart"/>
      <w:r>
        <w:t>use</w:t>
      </w:r>
      <w:proofErr w:type="gramEnd"/>
      <w:r>
        <w:t xml:space="preserve"> of the NAA guidelines, updated annually.</w:t>
      </w:r>
    </w:p>
    <w:p w:rsidR="001D16C8" w:rsidRDefault="00F5451F">
      <w:pPr>
        <w:pStyle w:val="Heading2"/>
      </w:pPr>
      <w:r>
        <w:t>6</w:t>
      </w:r>
      <w:r>
        <w:tab/>
        <w:t>Inclusion and racism</w:t>
      </w:r>
    </w:p>
    <w:p w:rsidR="001D16C8" w:rsidRDefault="00F5451F">
      <w:pPr>
        <w:pStyle w:val="BodyText"/>
      </w:pPr>
      <w:r>
        <w:t>6.1</w:t>
      </w:r>
      <w:r>
        <w:tab/>
        <w:t xml:space="preserve">The school is aware of the recommendations of The Stephen Lawrence Inquiry; Macpherson Report (1999). The diversity of our society </w:t>
      </w:r>
      <w:r>
        <w:t xml:space="preserve">is addressed through our schemes of work, which reflect the </w:t>
      </w:r>
      <w:proofErr w:type="spellStart"/>
      <w:r>
        <w:t>programmes</w:t>
      </w:r>
      <w:proofErr w:type="spellEnd"/>
      <w:r>
        <w:t xml:space="preserve"> of study in the National Curriculum. Teachers are flexible in their planning and offer appropriate challenges to all pupils, regardless of ethnic or social background. We ensure that ou</w:t>
      </w:r>
      <w:r>
        <w:t>r curriculum reflects diverse cultures, histories, and perspectives, promoting an inclusive worldview among our pupils.</w:t>
      </w:r>
      <w:r>
        <w:br/>
      </w:r>
      <w:r>
        <w:br/>
      </w:r>
      <w:r>
        <w:t xml:space="preserve">All racist incidents are now recorded and reported to the governing body by the </w:t>
      </w:r>
      <w:proofErr w:type="spellStart"/>
      <w:r>
        <w:t>headteacher</w:t>
      </w:r>
      <w:proofErr w:type="spellEnd"/>
      <w:r>
        <w:t xml:space="preserve">. The school contacts parents or </w:t>
      </w:r>
      <w:proofErr w:type="spellStart"/>
      <w:r>
        <w:t>carers</w:t>
      </w:r>
      <w:proofErr w:type="spellEnd"/>
      <w:r>
        <w:t xml:space="preserve"> of t</w:t>
      </w:r>
      <w:r>
        <w:t>hose pupils involved in racist incidents.</w:t>
      </w:r>
    </w:p>
    <w:p w:rsidR="001D16C8" w:rsidRDefault="00F5451F">
      <w:pPr>
        <w:pStyle w:val="BodyText"/>
      </w:pPr>
      <w:r>
        <w:t xml:space="preserve">            </w:t>
      </w:r>
      <w:r>
        <w:rPr>
          <w:b/>
          <w:bCs/>
        </w:rPr>
        <w:t>Our definition of racism</w:t>
      </w:r>
      <w:r>
        <w:t>: “A racist incident is any incident which is perceived to be racist by the victim or any other person”</w:t>
      </w:r>
    </w:p>
    <w:p w:rsidR="001D16C8" w:rsidRDefault="00F5451F">
      <w:pPr>
        <w:pStyle w:val="BodyText"/>
      </w:pPr>
      <w:r>
        <w:t xml:space="preserve">            Further details are to be found in the school's Anti-Racism Po</w:t>
      </w:r>
      <w:r>
        <w:t>licy.</w:t>
      </w:r>
    </w:p>
    <w:p w:rsidR="001D16C8" w:rsidRDefault="00F5451F">
      <w:pPr>
        <w:pStyle w:val="Heading2"/>
      </w:pPr>
      <w:r>
        <w:t>7</w:t>
      </w:r>
      <w:r>
        <w:tab/>
        <w:t xml:space="preserve">Summary </w:t>
      </w:r>
    </w:p>
    <w:p w:rsidR="001D16C8" w:rsidRDefault="00F5451F">
      <w:pPr>
        <w:pStyle w:val="BodyText"/>
      </w:pPr>
      <w:r>
        <w:t>7.1</w:t>
      </w:r>
      <w:r>
        <w:tab/>
        <w:t>In our school, we value each child as a unique individual with equal rights. We will strive to meet the needs of all our children, ensure their rights are met, and seek to ensure that we meet all statutory requirements related to matte</w:t>
      </w:r>
      <w:r>
        <w:t>rs of inclusion.</w:t>
      </w:r>
    </w:p>
    <w:p w:rsidR="001D16C8" w:rsidRDefault="00F5451F">
      <w:pPr>
        <w:pStyle w:val="Heading2"/>
      </w:pPr>
      <w:r>
        <w:t>8</w:t>
      </w:r>
      <w:r>
        <w:tab/>
        <w:t>Monitoring and review</w:t>
      </w:r>
    </w:p>
    <w:p w:rsidR="001D16C8" w:rsidRDefault="00F5451F">
      <w:pPr>
        <w:pStyle w:val="BodyText"/>
      </w:pPr>
      <w:r>
        <w:t>8.1</w:t>
      </w:r>
      <w:r>
        <w:tab/>
        <w:t xml:space="preserve">This policy is monitored by the governing body, and will be reviewed every two </w:t>
      </w:r>
      <w:proofErr w:type="gramStart"/>
      <w:r>
        <w:t>years,</w:t>
      </w:r>
      <w:proofErr w:type="gramEnd"/>
      <w:r>
        <w:t xml:space="preserve"> or earlier if necessary. </w:t>
      </w:r>
    </w:p>
    <w:p w:rsidR="001D16C8" w:rsidRDefault="001D16C8">
      <w:pPr>
        <w:pStyle w:val="BodyText"/>
      </w:pPr>
    </w:p>
    <w:p w:rsidR="001D16C8" w:rsidRDefault="001D16C8">
      <w:pPr>
        <w:pStyle w:val="Default"/>
        <w:suppressAutoHyphens/>
        <w:spacing w:before="0" w:line="240" w:lineRule="auto"/>
        <w:rPr>
          <w:rFonts w:ascii="Times Roman" w:eastAsia="Times Roman" w:hAnsi="Times Roman" w:cs="Times Roman"/>
        </w:rPr>
      </w:pPr>
    </w:p>
    <w:p w:rsidR="001D16C8" w:rsidRDefault="001D16C8">
      <w:pPr>
        <w:pStyle w:val="Default"/>
        <w:suppressAutoHyphens/>
        <w:spacing w:before="0" w:line="240" w:lineRule="auto"/>
        <w:rPr>
          <w:rFonts w:ascii="Times Roman" w:eastAsia="Times Roman" w:hAnsi="Times Roman" w:cs="Times Roman"/>
          <w:color w:val="808080"/>
        </w:rPr>
      </w:pPr>
    </w:p>
    <w:p w:rsidR="001D16C8" w:rsidRDefault="00F5451F">
      <w:pPr>
        <w:pStyle w:val="Default"/>
        <w:suppressAutoHyphens/>
        <w:spacing w:before="0" w:after="319" w:line="240" w:lineRule="auto"/>
        <w:rPr>
          <w:rFonts w:ascii="Times Roman" w:eastAsia="Times Roman" w:hAnsi="Times Roman" w:cs="Times Roman"/>
          <w:b/>
          <w:bCs/>
        </w:rPr>
      </w:pPr>
      <w:r>
        <w:rPr>
          <w:rFonts w:ascii="Times Roman" w:hAnsi="Times Roman"/>
          <w:b/>
          <w:bCs/>
          <w:lang w:val="en-US"/>
        </w:rPr>
        <w:t>7. Reinforce Anti-Racism Measures</w:t>
      </w:r>
    </w:p>
    <w:p w:rsidR="001D16C8" w:rsidRDefault="00F5451F">
      <w:pPr>
        <w:pStyle w:val="Default"/>
        <w:numPr>
          <w:ilvl w:val="0"/>
          <w:numId w:val="8"/>
        </w:numPr>
        <w:suppressAutoHyphens/>
        <w:spacing w:before="0" w:line="240" w:lineRule="auto"/>
        <w:rPr>
          <w:rFonts w:ascii="Times Roman" w:hAnsi="Times Roman"/>
          <w:lang w:val="en-US"/>
        </w:rPr>
      </w:pPr>
      <w:r>
        <w:rPr>
          <w:rFonts w:ascii="Times Roman" w:hAnsi="Times Roman"/>
          <w:lang w:val="en-US"/>
        </w:rPr>
        <w:lastRenderedPageBreak/>
        <w:t xml:space="preserve">The </w:t>
      </w:r>
      <w:r>
        <w:rPr>
          <w:rFonts w:ascii="Times Roman" w:hAnsi="Times Roman"/>
          <w:b/>
          <w:bCs/>
          <w:lang w:val="fr-FR"/>
        </w:rPr>
        <w:t>anti-</w:t>
      </w:r>
      <w:proofErr w:type="spellStart"/>
      <w:r>
        <w:rPr>
          <w:rFonts w:ascii="Times Roman" w:hAnsi="Times Roman"/>
          <w:b/>
          <w:bCs/>
          <w:lang w:val="fr-FR"/>
        </w:rPr>
        <w:t>racism</w:t>
      </w:r>
      <w:proofErr w:type="spellEnd"/>
      <w:r>
        <w:rPr>
          <w:rFonts w:ascii="Times Roman" w:hAnsi="Times Roman"/>
          <w:b/>
          <w:bCs/>
          <w:lang w:val="fr-FR"/>
        </w:rPr>
        <w:t xml:space="preserve"> section (6.1)</w:t>
      </w:r>
      <w:r>
        <w:rPr>
          <w:rFonts w:ascii="Times Roman" w:hAnsi="Times Roman"/>
          <w:lang w:val="en-US"/>
        </w:rPr>
        <w:t xml:space="preserve"> could benefit from a clearer commitment to </w:t>
      </w:r>
      <w:r>
        <w:rPr>
          <w:rFonts w:ascii="Times Roman" w:hAnsi="Times Roman"/>
          <w:b/>
          <w:bCs/>
          <w:lang w:val="en-US"/>
        </w:rPr>
        <w:t>embedding diverse perspectives</w:t>
      </w:r>
      <w:r>
        <w:rPr>
          <w:rFonts w:ascii="Times Roman" w:hAnsi="Times Roman"/>
          <w:lang w:val="en-US"/>
        </w:rPr>
        <w:t xml:space="preserve"> in the curriculum rather than just responding to incidents. Example addition:</w:t>
      </w:r>
    </w:p>
    <w:p w:rsidR="001D16C8" w:rsidRDefault="00F5451F">
      <w:pPr>
        <w:pStyle w:val="Default"/>
        <w:numPr>
          <w:ilvl w:val="1"/>
          <w:numId w:val="8"/>
        </w:numPr>
        <w:suppressAutoHyphens/>
        <w:spacing w:before="0" w:line="240" w:lineRule="auto"/>
        <w:rPr>
          <w:rFonts w:ascii="Times Roman" w:hAnsi="Times Roman"/>
          <w:lang w:val="ar-SA"/>
        </w:rPr>
      </w:pPr>
      <w:r>
        <w:rPr>
          <w:rFonts w:ascii="Times Roman" w:hAnsi="Times Roman"/>
          <w:rtl/>
          <w:lang w:val="ar-SA"/>
        </w:rPr>
        <w:t>“</w:t>
      </w:r>
      <w:r>
        <w:rPr>
          <w:rFonts w:ascii="Times Roman" w:hAnsi="Times Roman"/>
          <w:lang w:val="en-US"/>
        </w:rPr>
        <w:t>We ensure that our curriculum reflects diverse cultures, histories, and perspectives, promoting an inc</w:t>
      </w:r>
      <w:r>
        <w:rPr>
          <w:rFonts w:ascii="Times Roman" w:hAnsi="Times Roman"/>
          <w:lang w:val="en-US"/>
        </w:rPr>
        <w:t>lusive worldview among our pupils.</w:t>
      </w:r>
      <w:r>
        <w:rPr>
          <w:rFonts w:ascii="Times Roman" w:hAnsi="Times Roman"/>
        </w:rPr>
        <w:t>”</w:t>
      </w:r>
    </w:p>
    <w:sectPr w:rsidR="001D16C8" w:rsidSect="002271C9">
      <w:headerReference w:type="default" r:id="rId9"/>
      <w:footerReference w:type="default" r:id="rId10"/>
      <w:pgSz w:w="11900" w:h="16840"/>
      <w:pgMar w:top="1276" w:right="1152" w:bottom="1440" w:left="1152"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1F" w:rsidRDefault="00F5451F">
      <w:r>
        <w:separator/>
      </w:r>
    </w:p>
  </w:endnote>
  <w:endnote w:type="continuationSeparator" w:id="0">
    <w:p w:rsidR="00F5451F" w:rsidRDefault="00F5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C8" w:rsidRDefault="001D16C8">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1F" w:rsidRDefault="00F5451F">
      <w:r>
        <w:separator/>
      </w:r>
    </w:p>
  </w:footnote>
  <w:footnote w:type="continuationSeparator" w:id="0">
    <w:p w:rsidR="00F5451F" w:rsidRDefault="00F5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C8" w:rsidRDefault="001D16C8">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CD6"/>
    <w:multiLevelType w:val="hybridMultilevel"/>
    <w:tmpl w:val="BFE071DA"/>
    <w:numStyleLink w:val="ImportedStyle2"/>
  </w:abstractNum>
  <w:abstractNum w:abstractNumId="1">
    <w:nsid w:val="132B0782"/>
    <w:multiLevelType w:val="multilevel"/>
    <w:tmpl w:val="0E123D34"/>
    <w:numStyleLink w:val="ImportedStyle3"/>
  </w:abstractNum>
  <w:abstractNum w:abstractNumId="2">
    <w:nsid w:val="24B02B5D"/>
    <w:multiLevelType w:val="hybridMultilevel"/>
    <w:tmpl w:val="D2D6F55E"/>
    <w:numStyleLink w:val="ImportedStyle1"/>
  </w:abstractNum>
  <w:abstractNum w:abstractNumId="3">
    <w:nsid w:val="252D6C2E"/>
    <w:multiLevelType w:val="hybridMultilevel"/>
    <w:tmpl w:val="FB548AB6"/>
    <w:styleLink w:val="Bullets"/>
    <w:lvl w:ilvl="0" w:tplc="E182BC82">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7890BCF8">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386B52">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C6F71E">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8B4A6CA">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460D72">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7EE0FD6">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AB29602">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A0DEFE">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56C0285"/>
    <w:multiLevelType w:val="hybridMultilevel"/>
    <w:tmpl w:val="BFE071DA"/>
    <w:styleLink w:val="ImportedStyle2"/>
    <w:lvl w:ilvl="0" w:tplc="4A8A211A">
      <w:start w:val="1"/>
      <w:numFmt w:val="bullet"/>
      <w:lvlText w:val="·"/>
      <w:lvlJc w:val="left"/>
      <w:pPr>
        <w:ind w:left="12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1E689A">
      <w:start w:val="1"/>
      <w:numFmt w:val="bullet"/>
      <w:lvlText w:val="·"/>
      <w:lvlJc w:val="left"/>
      <w:pPr>
        <w:ind w:left="12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866E5B6">
      <w:start w:val="1"/>
      <w:numFmt w:val="bullet"/>
      <w:lvlText w:val="·"/>
      <w:lvlJc w:val="left"/>
      <w:pPr>
        <w:ind w:left="12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CEE40C0">
      <w:start w:val="1"/>
      <w:numFmt w:val="bullet"/>
      <w:lvlText w:val="·"/>
      <w:lvlJc w:val="left"/>
      <w:pPr>
        <w:ind w:left="12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886F96">
      <w:start w:val="1"/>
      <w:numFmt w:val="bullet"/>
      <w:lvlText w:val="·"/>
      <w:lvlJc w:val="left"/>
      <w:pPr>
        <w:ind w:left="12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39043C4">
      <w:start w:val="1"/>
      <w:numFmt w:val="bullet"/>
      <w:lvlText w:val="·"/>
      <w:lvlJc w:val="left"/>
      <w:pPr>
        <w:ind w:left="12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A343260">
      <w:start w:val="1"/>
      <w:numFmt w:val="bullet"/>
      <w:lvlText w:val="·"/>
      <w:lvlJc w:val="left"/>
      <w:pPr>
        <w:ind w:left="12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52368A">
      <w:start w:val="1"/>
      <w:numFmt w:val="bullet"/>
      <w:lvlText w:val="·"/>
      <w:lvlJc w:val="left"/>
      <w:pPr>
        <w:ind w:left="12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B201D80">
      <w:start w:val="1"/>
      <w:numFmt w:val="bullet"/>
      <w:lvlText w:val="·"/>
      <w:lvlJc w:val="left"/>
      <w:pPr>
        <w:ind w:left="12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E002270"/>
    <w:multiLevelType w:val="hybridMultilevel"/>
    <w:tmpl w:val="FB548AB6"/>
    <w:numStyleLink w:val="Bullets"/>
  </w:abstractNum>
  <w:abstractNum w:abstractNumId="6">
    <w:nsid w:val="62466EBD"/>
    <w:multiLevelType w:val="multilevel"/>
    <w:tmpl w:val="0E123D34"/>
    <w:styleLink w:val="ImportedStyle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3E46EDA"/>
    <w:multiLevelType w:val="hybridMultilevel"/>
    <w:tmpl w:val="D2D6F55E"/>
    <w:styleLink w:val="ImportedStyle1"/>
    <w:lvl w:ilvl="0" w:tplc="BD96D6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3A610D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7CCC38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40000A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664F15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E46E4D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2248E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6C5D8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5724B3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7"/>
  </w:num>
  <w:num w:numId="2">
    <w:abstractNumId w:val="2"/>
  </w:num>
  <w:num w:numId="3">
    <w:abstractNumId w:val="4"/>
  </w:num>
  <w:num w:numId="4">
    <w:abstractNumId w:val="0"/>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D16C8"/>
    <w:rsid w:val="001D16C8"/>
    <w:rsid w:val="002271C9"/>
    <w:rsid w:val="00F5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Heading1">
    <w:name w:val="heading 1"/>
    <w:next w:val="Normal"/>
    <w:pPr>
      <w:keepNext/>
      <w:spacing w:before="240" w:after="60"/>
      <w:jc w:val="center"/>
      <w:outlineLvl w:val="0"/>
    </w:pPr>
    <w:rPr>
      <w:rFonts w:ascii="Arial" w:hAnsi="Arial" w:cs="Arial Unicode MS"/>
      <w:b/>
      <w:bCs/>
      <w:color w:val="000000"/>
      <w:kern w:val="32"/>
      <w:sz w:val="28"/>
      <w:szCs w:val="28"/>
      <w:u w:color="000000"/>
      <w:lang w:val="en-US"/>
      <w14:textOutline w14:w="0" w14:cap="flat" w14:cmpd="sng" w14:algn="ctr">
        <w14:noFill/>
        <w14:prstDash w14:val="solid"/>
        <w14:bevel/>
      </w14:textOutline>
    </w:rPr>
  </w:style>
  <w:style w:type="paragraph" w:styleId="Heading2">
    <w:name w:val="heading 2"/>
    <w:next w:val="Normal"/>
    <w:pPr>
      <w:keepNext/>
      <w:spacing w:before="240" w:after="60"/>
      <w:outlineLvl w:val="1"/>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bodycopy10pt">
    <w:name w:val="1 body copy 10pt"/>
    <w:pPr>
      <w:spacing w:after="120"/>
    </w:pPr>
    <w:rPr>
      <w:rFonts w:ascii="Arial" w:hAnsi="Arial" w:cs="Arial Unicode MS"/>
      <w:color w:val="000000"/>
      <w:u w:color="000000"/>
      <w:lang w:val="en-US"/>
    </w:rPr>
  </w:style>
  <w:style w:type="paragraph" w:customStyle="1" w:styleId="1bodycopy11pt">
    <w:name w:val="1 body copy 11pt"/>
    <w:pPr>
      <w:spacing w:after="120"/>
      <w:ind w:right="850"/>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paragraph" w:styleId="BodyText">
    <w:name w:val="Body Text"/>
    <w:pPr>
      <w:spacing w:after="120"/>
      <w:ind w:left="720" w:hanging="720"/>
    </w:pPr>
    <w:rPr>
      <w:rFonts w:ascii="Arial" w:hAnsi="Arial" w:cs="Arial Unicode MS"/>
      <w:color w:val="000000"/>
      <w:sz w:val="22"/>
      <w:szCs w:val="22"/>
      <w:u w:color="000000"/>
      <w:lang w:val="en-US"/>
    </w:rPr>
  </w:style>
  <w:style w:type="paragraph" w:styleId="ListBullet4">
    <w:name w:val="List Bullet 4"/>
    <w:pPr>
      <w:tabs>
        <w:tab w:val="left" w:pos="1209"/>
      </w:tabs>
    </w:pPr>
    <w:rPr>
      <w:rFonts w:ascii="Arial" w:hAnsi="Arial"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s">
    <w:name w:val="Bullets"/>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Heading1">
    <w:name w:val="heading 1"/>
    <w:next w:val="Normal"/>
    <w:pPr>
      <w:keepNext/>
      <w:spacing w:before="240" w:after="60"/>
      <w:jc w:val="center"/>
      <w:outlineLvl w:val="0"/>
    </w:pPr>
    <w:rPr>
      <w:rFonts w:ascii="Arial" w:hAnsi="Arial" w:cs="Arial Unicode MS"/>
      <w:b/>
      <w:bCs/>
      <w:color w:val="000000"/>
      <w:kern w:val="32"/>
      <w:sz w:val="28"/>
      <w:szCs w:val="28"/>
      <w:u w:color="000000"/>
      <w:lang w:val="en-US"/>
      <w14:textOutline w14:w="0" w14:cap="flat" w14:cmpd="sng" w14:algn="ctr">
        <w14:noFill/>
        <w14:prstDash w14:val="solid"/>
        <w14:bevel/>
      </w14:textOutline>
    </w:rPr>
  </w:style>
  <w:style w:type="paragraph" w:styleId="Heading2">
    <w:name w:val="heading 2"/>
    <w:next w:val="Normal"/>
    <w:pPr>
      <w:keepNext/>
      <w:spacing w:before="240" w:after="60"/>
      <w:outlineLvl w:val="1"/>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1bodycopy10pt">
    <w:name w:val="1 body copy 10pt"/>
    <w:pPr>
      <w:spacing w:after="120"/>
    </w:pPr>
    <w:rPr>
      <w:rFonts w:ascii="Arial" w:hAnsi="Arial" w:cs="Arial Unicode MS"/>
      <w:color w:val="000000"/>
      <w:u w:color="000000"/>
      <w:lang w:val="en-US"/>
    </w:rPr>
  </w:style>
  <w:style w:type="paragraph" w:customStyle="1" w:styleId="1bodycopy11pt">
    <w:name w:val="1 body copy 11pt"/>
    <w:pPr>
      <w:spacing w:after="120"/>
      <w:ind w:right="850"/>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paragraph" w:styleId="BodyText">
    <w:name w:val="Body Text"/>
    <w:pPr>
      <w:spacing w:after="120"/>
      <w:ind w:left="720" w:hanging="720"/>
    </w:pPr>
    <w:rPr>
      <w:rFonts w:ascii="Arial" w:hAnsi="Arial" w:cs="Arial Unicode MS"/>
      <w:color w:val="000000"/>
      <w:sz w:val="22"/>
      <w:szCs w:val="22"/>
      <w:u w:color="000000"/>
      <w:lang w:val="en-US"/>
    </w:rPr>
  </w:style>
  <w:style w:type="paragraph" w:styleId="ListBullet4">
    <w:name w:val="List Bullet 4"/>
    <w:pPr>
      <w:tabs>
        <w:tab w:val="left" w:pos="1209"/>
      </w:tabs>
    </w:pPr>
    <w:rPr>
      <w:rFonts w:ascii="Arial" w:hAnsi="Arial"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s">
    <w:name w:val="Bullets"/>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9779</Characters>
  <Application>Microsoft Office Word</Application>
  <DocSecurity>0</DocSecurity>
  <Lines>81</Lines>
  <Paragraphs>22</Paragraphs>
  <ScaleCrop>false</ScaleCrop>
  <Company/>
  <LinksUpToDate>false</LinksUpToDate>
  <CharactersWithSpaces>11472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Gov</cp:lastModifiedBy>
  <cp:revision>2</cp:revision>
  <dcterms:created xsi:type="dcterms:W3CDTF">2025-03-19T09:21:00Z</dcterms:created>
  <dcterms:modified xsi:type="dcterms:W3CDTF">2025-03-19T09:21:00Z</dcterms:modified>
</cp:coreProperties>
</file>